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0"/>
        <w:ind w:left="5340" w:right="160" w:firstLine="0"/>
      </w:pPr>
      <w:r>
        <w:rPr>
          <w:lang w:val="ru-RU" w:eastAsia="ru-RU" w:bidi="ru-RU"/>
          <w:w w:val="100"/>
          <w:spacing w:val="0"/>
          <w:color w:val="000000"/>
          <w:position w:val="0"/>
        </w:rPr>
        <w:t xml:space="preserve">ООО «Спецторгшина и К» ул. Электрозаводская, д. 24, эт.6, комн. 609, г. Москва, 107023, </w:t>
      </w:r>
      <w:r>
        <w:fldChar w:fldCharType="begin"/>
      </w:r>
      <w:r>
        <w:rPr>
          <w:color w:val="000000"/>
        </w:rPr>
        <w:instrText> HYPERLINK "mailto:pav@specshina.com" </w:instrText>
      </w:r>
      <w:r>
        <w:fldChar w:fldCharType="separate"/>
      </w:r>
      <w:r>
        <w:rPr>
          <w:rStyle w:val="Hyperlink"/>
          <w:lang w:val="en-US" w:eastAsia="en-US" w:bidi="en-US"/>
          <w:w w:val="100"/>
          <w:spacing w:val="0"/>
          <w:position w:val="0"/>
        </w:rPr>
        <w:t>pav@specshina.com</w:t>
      </w:r>
      <w:r>
        <w:fldChar w:fldCharType="end"/>
      </w:r>
    </w:p>
    <w:p>
      <w:pPr>
        <w:pStyle w:val="Style5"/>
        <w:widowControl w:val="0"/>
        <w:keepNext w:val="0"/>
        <w:keepLines w:val="0"/>
        <w:shd w:val="clear" w:color="auto" w:fill="auto"/>
        <w:bidi w:val="0"/>
        <w:jc w:val="left"/>
        <w:spacing w:before="0" w:after="0"/>
        <w:ind w:left="5340" w:right="160" w:firstLine="0"/>
      </w:pPr>
      <w:r>
        <w:rPr>
          <w:lang w:val="ru-RU" w:eastAsia="ru-RU" w:bidi="ru-RU"/>
          <w:w w:val="100"/>
          <w:spacing w:val="0"/>
          <w:color w:val="000000"/>
          <w:position w:val="0"/>
        </w:rPr>
        <w:t>ГБУ «Автомобильные дороги СЗАО» Строительный пр-д., д. 14А, г. Москва, 125363,</w:t>
      </w:r>
    </w:p>
    <w:p>
      <w:pPr>
        <w:pStyle w:val="Style5"/>
        <w:widowControl w:val="0"/>
        <w:keepNext w:val="0"/>
        <w:keepLines w:val="0"/>
        <w:shd w:val="clear" w:color="auto" w:fill="auto"/>
        <w:bidi w:val="0"/>
        <w:jc w:val="left"/>
        <w:spacing w:before="0" w:after="2" w:line="260" w:lineRule="exact"/>
        <w:ind w:left="5340" w:right="0" w:firstLine="0"/>
      </w:pPr>
      <w:r>
        <w:fldChar w:fldCharType="begin"/>
      </w:r>
      <w:r>
        <w:rPr>
          <w:color w:val="000000"/>
        </w:rPr>
        <w:instrText> HYPERLINK "mailto:krivoshlikova@avdszao.ru" </w:instrText>
      </w:r>
      <w:r>
        <w:fldChar w:fldCharType="separate"/>
      </w:r>
      <w:r>
        <w:rPr>
          <w:rStyle w:val="Hyperlink"/>
          <w:lang w:val="en-US" w:eastAsia="en-US" w:bidi="en-US"/>
          <w:w w:val="100"/>
          <w:spacing w:val="0"/>
          <w:position w:val="0"/>
        </w:rPr>
        <w:t>krivoshlikova@avdszao.ru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left"/>
        <w:spacing w:before="0" w:after="303" w:line="260" w:lineRule="exact"/>
        <w:ind w:left="5340" w:right="0" w:firstLine="0"/>
      </w:pPr>
      <w:r>
        <w:fldChar w:fldCharType="begin"/>
      </w:r>
      <w:r>
        <w:rPr>
          <w:color w:val="000000"/>
        </w:rPr>
        <w:instrText> HYPERLINK "mailto:zakupki@avdszao.ru" </w:instrText>
      </w:r>
      <w:r>
        <w:fldChar w:fldCharType="separate"/>
      </w:r>
      <w:r>
        <w:rPr>
          <w:rStyle w:val="Hyperlink"/>
          <w:lang w:val="en-US" w:eastAsia="en-US" w:bidi="en-US"/>
          <w:w w:val="100"/>
          <w:spacing w:val="0"/>
          <w:position w:val="0"/>
        </w:rPr>
        <w:t>zakupki@avdszao.ru</w:t>
      </w:r>
      <w:r>
        <w:fldChar w:fldCharType="end"/>
      </w:r>
    </w:p>
    <w:p>
      <w:pPr>
        <w:pStyle w:val="Style5"/>
        <w:widowControl w:val="0"/>
        <w:keepNext w:val="0"/>
        <w:keepLines w:val="0"/>
        <w:shd w:val="clear" w:color="auto" w:fill="auto"/>
        <w:bidi w:val="0"/>
        <w:jc w:val="left"/>
        <w:spacing w:before="0" w:after="0"/>
        <w:ind w:left="5340" w:right="160" w:firstLine="0"/>
      </w:pPr>
      <w:r>
        <w:rPr>
          <w:lang w:val="ru-RU" w:eastAsia="ru-RU" w:bidi="ru-RU"/>
          <w:w w:val="100"/>
          <w:spacing w:val="0"/>
          <w:color w:val="000000"/>
          <w:position w:val="0"/>
        </w:rPr>
        <w:t>ГКУ «Дирекция ЖКХиБ СЗАО» Туристская ул., д. 16, корп. 3, г. Москва, 125459,</w:t>
      </w:r>
    </w:p>
    <w:p>
      <w:pPr>
        <w:pStyle w:val="Style5"/>
        <w:widowControl w:val="0"/>
        <w:keepNext w:val="0"/>
        <w:keepLines w:val="0"/>
        <w:shd w:val="clear" w:color="auto" w:fill="auto"/>
        <w:bidi w:val="0"/>
        <w:jc w:val="left"/>
        <w:spacing w:before="0" w:after="844"/>
        <w:ind w:left="5340" w:right="0" w:firstLine="0"/>
      </w:pPr>
      <w:r>
        <w:fldChar w:fldCharType="begin"/>
      </w:r>
      <w:r>
        <w:rPr>
          <w:color w:val="000000"/>
        </w:rPr>
        <w:instrText> HYPERLINK "mailto:zakupkiszao@yandex.ru" </w:instrText>
      </w:r>
      <w:r>
        <w:fldChar w:fldCharType="separate"/>
      </w:r>
      <w:r>
        <w:rPr>
          <w:rStyle w:val="Hyperlink"/>
          <w:lang w:val="en-US" w:eastAsia="en-US" w:bidi="en-US"/>
          <w:w w:val="100"/>
          <w:spacing w:val="0"/>
          <w:position w:val="0"/>
        </w:rPr>
        <w:t>zakupkiszao@yandex.ru</w:t>
      </w:r>
      <w:r>
        <w:fldChar w:fldCharType="end"/>
      </w:r>
    </w:p>
    <w:p>
      <w:pPr>
        <w:pStyle w:val="Style7"/>
        <w:tabs>
          <w:tab w:leader="none" w:pos="8392" w:val="center"/>
          <w:tab w:leader="none" w:pos="9520" w:val="right"/>
        </w:tabs>
        <w:widowControl w:val="0"/>
        <w:keepNext w:val="0"/>
        <w:keepLines w:val="0"/>
        <w:shd w:val="clear" w:color="auto" w:fill="auto"/>
        <w:bidi w:val="0"/>
        <w:jc w:val="left"/>
        <w:spacing w:before="0" w:after="0"/>
        <w:ind w:left="40" w:right="700"/>
      </w:pPr>
      <w:r>
        <w:rPr>
          <w:lang w:val="ru-RU" w:eastAsia="ru-RU" w:bidi="ru-RU"/>
          <w:w w:val="100"/>
          <w:spacing w:val="0"/>
          <w:color w:val="000000"/>
          <w:position w:val="0"/>
        </w:rPr>
        <w:t>РЕШЕНИЕ по делу № 077/06/106-19651/2021 о нарушении законодательства о контрактной системе 11.11.2021</w:t>
        <w:tab/>
        <w:t>г.</w:t>
        <w:tab/>
        <w:t>Москва</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17" w:lineRule="exact"/>
        <w:ind w:left="4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2019- </w:t>
      </w:r>
      <w:r>
        <w:rPr>
          <w:lang w:val="en-US" w:eastAsia="en-US" w:bidi="en-US"/>
          <w:w w:val="100"/>
          <w:spacing w:val="0"/>
          <w:color w:val="000000"/>
          <w:position w:val="0"/>
        </w:rPr>
        <w:t>nCoV.,</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при участии представителей ООО «Спецторгшина и К», ГБУ «Автомобильные дороги СЗАО»</w:t>
      </w:r>
    </w:p>
    <w:p>
      <w:pPr>
        <w:pStyle w:val="Style3"/>
        <w:framePr w:w="1685" w:h="394" w:wrap="around" w:vAnchor="text" w:hAnchor="margin" w:x="385" w:y="1820"/>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000905836871</w:t>
      </w:r>
    </w:p>
    <w:p>
      <w:pPr>
        <w:pStyle w:val="Style5"/>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рассмотрев жалобу ООО «Спецторгшина и К» (далее — Заявитель) на действия ГБУ «Автомобильные дороги СЗАО» (далее — Заказчик) при проведении электронного аукциона на право заключения государственного контракта на поставку шин для техники ГБУ «Автомобильные дороги СЗАО» (Закупка № 0373200017321000606) (далее — Аукцион), в соответствии с Федеральным</w:t>
      </w:r>
      <w:r>
        <w:br w:type="page"/>
      </w:r>
    </w:p>
    <w:p>
      <w:pPr>
        <w:pStyle w:val="Style5"/>
        <w:widowControl w:val="0"/>
        <w:keepNext w:val="0"/>
        <w:keepLines w:val="0"/>
        <w:shd w:val="clear" w:color="auto" w:fill="auto"/>
        <w:bidi w:val="0"/>
        <w:jc w:val="both"/>
        <w:spacing w:before="0" w:after="304"/>
        <w:ind w:left="20" w:right="20" w:firstLine="0"/>
      </w:pPr>
      <w:r>
        <w:rPr>
          <w:lang w:val="ru-RU" w:eastAsia="ru-RU" w:bidi="ru-RU"/>
          <w:w w:val="100"/>
          <w:spacing w:val="0"/>
          <w:color w:val="000000"/>
          <w:position w:val="0"/>
        </w:rPr>
        <w:t>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Заявитель обжалует действия Заказчика, выразившиеся в утверждений положений аукционной документации в нарушение законодательства об осуществлении закупок.</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02.11.2021 № ЕИ/67190/21 документы и сведения.</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Согласно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numPr>
          <w:ilvl w:val="0"/>
          <w:numId w:val="1"/>
        </w:numPr>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Согласно ч.3 ст.14 Закона о контрактной системе в целях за</w:t>
      </w:r>
      <w:r>
        <w:rPr>
          <w:rStyle w:val="CharStyle9"/>
        </w:rPr>
        <w:t>щи</w:t>
      </w:r>
      <w:r>
        <w:rPr>
          <w:lang w:val="ru-RU" w:eastAsia="ru-RU" w:bidi="ru-RU"/>
          <w:w w:val="100"/>
          <w:spacing w:val="0"/>
          <w:color w:val="000000"/>
          <w:position w:val="0"/>
        </w:rPr>
        <w:t>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Комиссией Управления установлено, что Заказчиком в п.14.3 Информационной карты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постановлением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В составе жалобы Заявитель указывает, что Заказчиком в аукционной документации установлены неправомерные требования к товарам, поскольку по мнению Заявителя указывают на продукцию импортных производителей, что с учетом установления запрета в соответствии с Постановлением №616.</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Комиссией Управления установлено, что в составе Технического задания установлен перечень требуемых к поставке шин с указанием их технических характеристик.</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 xml:space="preserve">На заседании Комиссии Управления представитель Заказчика представлена сводная таблица с указанием Российских производителей </w:t>
      </w:r>
      <w:r>
        <w:rPr>
          <w:rStyle w:val="CharStyle9"/>
        </w:rPr>
        <w:t>ши</w:t>
      </w:r>
      <w:r>
        <w:rPr>
          <w:lang w:val="ru-RU" w:eastAsia="ru-RU" w:bidi="ru-RU"/>
          <w:w w:val="100"/>
          <w:spacing w:val="0"/>
          <w:color w:val="000000"/>
          <w:position w:val="0"/>
        </w:rPr>
        <w:t>н соответствующих требованиям аукционной документации, а также сведения об открытых источниках в сети Интернет о производителях стран Евразийского экономического союза.</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На основании ч.9 ст.105 Закона о контрактной системе к жалобе прикладываются документы, подтверждающие ее обоснованность. Вместе с тем на заседании Комиссии Управления представителем Заявителя, а также в составе жалобы не представлено указаний на то, какие именно характеристики требуемых к поставке товаров указывают на их производство исключительно иностранными производителями, а также не представлено документов и сведений, подтверждающих обоснованность данного довода жалобы и нарушении Заказчиком норм Закона о контрактной системе при формировании аукционной документации в оспариваемой части.</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Кроме того Заявитель в составе жалобы указывает на нарушения допущенные Заказчиком при формировании начальной (максимальной) цены контракта.</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Согласно ч.3 ст.99 Закона о контрактной системе ФАС России осуществляет контроль в сфере закупок, за исключением контроля, предусмотренного частями 5,8 и 10 статьи 99 Закона о контрактной системе.</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На основании вышеизложенного Комиссия Управления приходит к выводу о необоснованности данных доводов жалобы.</w:t>
      </w:r>
    </w:p>
    <w:p>
      <w:pPr>
        <w:pStyle w:val="Style5"/>
        <w:widowControl w:val="0"/>
        <w:keepNext w:val="0"/>
        <w:keepLines w:val="0"/>
        <w:shd w:val="clear" w:color="auto" w:fill="auto"/>
        <w:bidi w:val="0"/>
        <w:jc w:val="both"/>
        <w:spacing w:before="0" w:after="0" w:line="317" w:lineRule="exact"/>
        <w:ind w:left="0" w:right="20" w:firstLine="660"/>
      </w:pPr>
      <w:r>
        <w:rPr>
          <w:lang w:val="ru-RU" w:eastAsia="ru-RU" w:bidi="ru-RU"/>
          <w:w w:val="100"/>
          <w:spacing w:val="0"/>
          <w:color w:val="000000"/>
          <w:position w:val="0"/>
        </w:rPr>
        <w:t>П.3 ч.8 ст.99 Закона о контрактной системе установлено, что контроль за соблюдением требований к определению и обоснованию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В соответствии с п.2 ч.9 ст.99 Закона о контрактной системе контроль в сфере закупок в соответствии с ч.8 ст.99 Закона о контрактной системе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На основании вышеизложенного, рассмотрение жалоб участников закупок на предмет правомерности обоснования и расчета НМЦК не относится к компетенции Московского УФАС России, в связи с чем вышеуказанный довод жалоб остается без рассмотрения.</w:t>
      </w:r>
    </w:p>
    <w:p>
      <w:pPr>
        <w:pStyle w:val="Style5"/>
        <w:widowControl w:val="0"/>
        <w:keepNext w:val="0"/>
        <w:keepLines w:val="0"/>
        <w:shd w:val="clear" w:color="auto" w:fill="auto"/>
        <w:bidi w:val="0"/>
        <w:jc w:val="both"/>
        <w:spacing w:before="0" w:after="346" w:line="317" w:lineRule="exact"/>
        <w:ind w:left="2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spacing w:before="0" w:after="308"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 Признать жалобу ООО «Спецторгшина и К» на действия ГБУ «Автомобильные дороги СЗАО» необоснованной.</w:t>
      </w:r>
    </w:p>
    <w:p>
      <w:pPr>
        <w:pStyle w:val="Style5"/>
        <w:numPr>
          <w:ilvl w:val="0"/>
          <w:numId w:val="3"/>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Оставить жалобы ООО «Спецторгшина и К» в части обжалования порядка формирования НМЦК без рассмотрения в соответствии со ст.99 Закона о контрактной системе.</w:t>
      </w:r>
    </w:p>
    <w:p>
      <w:pPr>
        <w:pStyle w:val="Style5"/>
        <w:numPr>
          <w:ilvl w:val="0"/>
          <w:numId w:val="3"/>
        </w:numPr>
        <w:widowControl w:val="0"/>
        <w:keepNext w:val="0"/>
        <w:keepLines w:val="0"/>
        <w:shd w:val="clear" w:color="auto" w:fill="auto"/>
        <w:bidi w:val="0"/>
        <w:jc w:val="both"/>
        <w:spacing w:before="0" w:after="300" w:line="317" w:lineRule="exact"/>
        <w:ind w:left="20" w:right="20" w:firstLine="680"/>
      </w:pPr>
      <w:r>
        <w:rPr>
          <w:lang w:val="ru-RU" w:eastAsia="ru-RU" w:bidi="ru-RU"/>
          <w:w w:val="100"/>
          <w:spacing w:val="0"/>
          <w:color w:val="000000"/>
          <w:position w:val="0"/>
        </w:rPr>
        <w:t xml:space="preserve"> Снять ограничения на осуществление закупки, наложенные письмом Московского УФАС России 02.11.2021 № ЕИ/67190/21.</w:t>
      </w:r>
    </w:p>
    <w:p>
      <w:pPr>
        <w:pStyle w:val="Style5"/>
        <w:widowControl w:val="0"/>
        <w:keepNext w:val="0"/>
        <w:keepLines w:val="0"/>
        <w:shd w:val="clear" w:color="auto" w:fill="auto"/>
        <w:bidi w:val="0"/>
        <w:jc w:val="both"/>
        <w:spacing w:before="0" w:after="39" w:line="317" w:lineRule="exact"/>
        <w:ind w:left="20" w:right="20" w:firstLine="68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8876" w:val="center"/>
          <w:tab w:leader="none" w:pos="10189"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8694" w:val="center"/>
          <w:tab w:leader="none" w:pos="10189"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А.А. Кутейников</w:t>
      </w:r>
    </w:p>
    <w:p>
      <w:pPr>
        <w:pStyle w:val="Style12"/>
        <w:widowControl w:val="0"/>
        <w:keepNext w:val="0"/>
        <w:keepLines w:val="0"/>
        <w:shd w:val="clear" w:color="auto" w:fill="auto"/>
        <w:bidi w:val="0"/>
        <w:jc w:val="left"/>
        <w:spacing w:before="0" w:after="0"/>
        <w:ind w:left="20" w:right="822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923" w:left="841" w:right="817" w:bottom="7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840" w:line="317"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