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5"/>
        <w:widowControl w:val="0"/>
        <w:keepNext w:val="0"/>
        <w:keepLines w:val="0"/>
        <w:shd w:val="clear" w:color="auto" w:fill="auto"/>
        <w:bidi w:val="0"/>
        <w:jc w:val="left"/>
        <w:spacing w:before="0" w:after="0"/>
        <w:ind w:left="5340" w:right="0" w:firstLine="0"/>
      </w:pPr>
      <w:r>
        <w:rPr>
          <w:lang w:val="ru-RU" w:eastAsia="ru-RU" w:bidi="ru-RU"/>
          <w:w w:val="100"/>
          <w:spacing w:val="0"/>
          <w:color w:val="000000"/>
          <w:position w:val="0"/>
        </w:rPr>
        <w:t>ООО «ЗОДЧИЙ»</w:t>
      </w:r>
    </w:p>
    <w:p>
      <w:pPr>
        <w:pStyle w:val="Style5"/>
        <w:widowControl w:val="0"/>
        <w:keepNext w:val="0"/>
        <w:keepLines w:val="0"/>
        <w:shd w:val="clear" w:color="auto" w:fill="auto"/>
        <w:bidi w:val="0"/>
        <w:jc w:val="left"/>
        <w:spacing w:before="0" w:after="236"/>
        <w:ind w:left="5340" w:right="740" w:firstLine="0"/>
      </w:pPr>
      <w:r>
        <w:rPr>
          <w:lang w:val="ru-RU" w:eastAsia="ru-RU" w:bidi="ru-RU"/>
          <w:w w:val="100"/>
          <w:spacing w:val="0"/>
          <w:color w:val="000000"/>
          <w:position w:val="0"/>
        </w:rPr>
        <w:t xml:space="preserve">123001 г. Москва, Благовещенский переулок д. 3 стр. 1 </w:t>
      </w:r>
      <w:r>
        <w:fldChar w:fldCharType="begin"/>
      </w:r>
      <w:r>
        <w:rPr>
          <w:color w:val="000000"/>
        </w:rPr>
        <w:instrText> HYPERLINK "mailto:info@zodchiy.biz" </w:instrText>
      </w:r>
      <w:r>
        <w:fldChar w:fldCharType="separate"/>
      </w:r>
      <w:r>
        <w:rPr>
          <w:rStyle w:val="Hyperlink"/>
          <w:lang w:val="en-US" w:eastAsia="en-US" w:bidi="en-US"/>
          <w:w w:val="100"/>
          <w:spacing w:val="0"/>
          <w:position w:val="0"/>
        </w:rPr>
        <w:t>info@zodchiy.biz</w:t>
      </w:r>
      <w:r>
        <w:fldChar w:fldCharType="end"/>
      </w:r>
    </w:p>
    <w:p>
      <w:pPr>
        <w:pStyle w:val="Style5"/>
        <w:widowControl w:val="0"/>
        <w:keepNext w:val="0"/>
        <w:keepLines w:val="0"/>
        <w:shd w:val="clear" w:color="auto" w:fill="auto"/>
        <w:bidi w:val="0"/>
        <w:jc w:val="left"/>
        <w:spacing w:before="0" w:after="0" w:line="322" w:lineRule="exact"/>
        <w:ind w:left="5340" w:right="0" w:firstLine="0"/>
      </w:pPr>
      <w:r>
        <w:rPr>
          <w:lang w:val="ru-RU" w:eastAsia="ru-RU" w:bidi="ru-RU"/>
          <w:w w:val="100"/>
          <w:spacing w:val="0"/>
          <w:color w:val="000000"/>
          <w:position w:val="0"/>
        </w:rPr>
        <w:t>ФКУ «ЦОКР»</w:t>
      </w:r>
    </w:p>
    <w:p>
      <w:pPr>
        <w:pStyle w:val="Style5"/>
        <w:widowControl w:val="0"/>
        <w:keepNext w:val="0"/>
        <w:keepLines w:val="0"/>
        <w:shd w:val="clear" w:color="auto" w:fill="auto"/>
        <w:bidi w:val="0"/>
        <w:jc w:val="left"/>
        <w:spacing w:before="0" w:after="2044" w:line="322" w:lineRule="exact"/>
        <w:ind w:left="5340" w:right="740" w:firstLine="0"/>
      </w:pPr>
      <w:r>
        <w:rPr>
          <w:lang w:val="ru-RU" w:eastAsia="ru-RU" w:bidi="ru-RU"/>
          <w:w w:val="100"/>
          <w:spacing w:val="0"/>
          <w:color w:val="000000"/>
          <w:position w:val="0"/>
        </w:rPr>
        <w:t xml:space="preserve">Ипатьевский пер., д. 12, стр. 1, г. Москва, 103132 </w:t>
      </w:r>
      <w:r>
        <w:fldChar w:fldCharType="begin"/>
      </w:r>
      <w:r>
        <w:rPr>
          <w:color w:val="000000"/>
        </w:rPr>
        <w:instrText> HYPERLINK "mailto:fku_zakupki@roskazna.ru" </w:instrText>
      </w:r>
      <w:r>
        <w:fldChar w:fldCharType="separate"/>
      </w:r>
      <w:r>
        <w:rPr>
          <w:rStyle w:val="Hyperlink"/>
          <w:lang w:val="en-US" w:eastAsia="en-US" w:bidi="en-US"/>
          <w:w w:val="100"/>
          <w:spacing w:val="0"/>
          <w:position w:val="0"/>
        </w:rPr>
        <w:t>fku_zakupki@roskazna.ru</w:t>
      </w:r>
      <w:r>
        <w:fldChar w:fldCharType="end"/>
      </w:r>
    </w:p>
    <w:p>
      <w:pPr>
        <w:pStyle w:val="Style7"/>
        <w:tabs>
          <w:tab w:leader="none" w:pos="8464" w:val="right"/>
          <w:tab w:leader="none" w:pos="8609" w:val="left"/>
        </w:tabs>
        <w:widowControl w:val="0"/>
        <w:keepNext w:val="0"/>
        <w:keepLines w:val="0"/>
        <w:shd w:val="clear" w:color="auto" w:fill="auto"/>
        <w:bidi w:val="0"/>
        <w:jc w:val="left"/>
        <w:spacing w:before="0" w:after="0"/>
        <w:ind w:left="40" w:right="740"/>
      </w:pPr>
      <w:r>
        <w:rPr>
          <w:lang w:val="ru-RU" w:eastAsia="ru-RU" w:bidi="ru-RU"/>
          <w:w w:val="100"/>
          <w:spacing w:val="0"/>
          <w:color w:val="000000"/>
          <w:position w:val="0"/>
        </w:rPr>
        <w:t>РЕШЕНИЕ по делу №077/06/106-19713/2021 о нарушении законодательства о контрактной системе 11.11.2021</w:t>
        <w:tab/>
        <w:t>г.</w:t>
        <w:tab/>
        <w:t>Москва</w:t>
      </w:r>
    </w:p>
    <w:p>
      <w:pPr>
        <w:pStyle w:val="Style5"/>
        <w:widowControl w:val="0"/>
        <w:keepNext w:val="0"/>
        <w:keepLines w:val="0"/>
        <w:shd w:val="clear" w:color="auto" w:fill="auto"/>
        <w:bidi w:val="0"/>
        <w:jc w:val="both"/>
        <w:spacing w:before="0" w:after="0"/>
        <w:ind w:left="40" w:right="20" w:firstLine="840"/>
      </w:pPr>
      <w:r>
        <w:rPr>
          <w:lang w:val="ru-RU" w:eastAsia="ru-RU" w:bidi="ru-RU"/>
          <w:w w:val="100"/>
          <w:spacing w:val="0"/>
          <w:color w:val="000000"/>
          <w:position w:val="0"/>
        </w:rPr>
        <w:t>Комиссия по контролю в сфере закупок товаров, работ, услуг Управления Федеральной антимонопольной службы по г. Москве (далее - Комиссия Управления) в составе:</w:t>
      </w:r>
    </w:p>
    <w:p>
      <w:pPr>
        <w:pStyle w:val="Style5"/>
        <w:widowControl w:val="0"/>
        <w:keepNext w:val="0"/>
        <w:keepLines w:val="0"/>
        <w:shd w:val="clear" w:color="auto" w:fill="auto"/>
        <w:bidi w:val="0"/>
        <w:jc w:val="both"/>
        <w:spacing w:before="0" w:after="0"/>
        <w:ind w:left="40" w:right="20" w:firstLine="840"/>
      </w:pPr>
      <w:r>
        <w:rPr>
          <w:lang w:val="ru-RU" w:eastAsia="ru-RU" w:bidi="ru-RU"/>
          <w:w w:val="100"/>
          <w:spacing w:val="0"/>
          <w:color w:val="000000"/>
          <w:position w:val="0"/>
        </w:rPr>
        <w:t>Заместителя председателя Комиссии - главного государственного инспектора отдела обжалования государственных закупок С.И. Казарина,</w:t>
      </w:r>
    </w:p>
    <w:p>
      <w:pPr>
        <w:pStyle w:val="Style5"/>
        <w:widowControl w:val="0"/>
        <w:keepNext w:val="0"/>
        <w:keepLines w:val="0"/>
        <w:shd w:val="clear" w:color="auto" w:fill="auto"/>
        <w:bidi w:val="0"/>
        <w:jc w:val="both"/>
        <w:spacing w:before="0" w:after="0"/>
        <w:ind w:left="40" w:right="0" w:firstLine="840"/>
      </w:pPr>
      <w:r>
        <w:rPr>
          <w:lang w:val="ru-RU" w:eastAsia="ru-RU" w:bidi="ru-RU"/>
          <w:w w:val="100"/>
          <w:spacing w:val="0"/>
          <w:color w:val="000000"/>
          <w:position w:val="0"/>
        </w:rPr>
        <w:t>Членов Комиссии:</w:t>
      </w:r>
    </w:p>
    <w:p>
      <w:pPr>
        <w:pStyle w:val="Style5"/>
        <w:widowControl w:val="0"/>
        <w:keepNext w:val="0"/>
        <w:keepLines w:val="0"/>
        <w:shd w:val="clear" w:color="auto" w:fill="auto"/>
        <w:bidi w:val="0"/>
        <w:jc w:val="both"/>
        <w:spacing w:before="0" w:after="0"/>
        <w:ind w:left="40" w:right="20" w:firstLine="840"/>
      </w:pPr>
      <w:r>
        <w:rPr>
          <w:lang w:val="ru-RU" w:eastAsia="ru-RU" w:bidi="ru-RU"/>
          <w:w w:val="100"/>
          <w:spacing w:val="0"/>
          <w:color w:val="000000"/>
          <w:position w:val="0"/>
        </w:rPr>
        <w:t>Специалиста-эксперта отдела обжалования государственных закупок А.З. Касимовой,</w:t>
      </w:r>
    </w:p>
    <w:p>
      <w:pPr>
        <w:pStyle w:val="Style5"/>
        <w:widowControl w:val="0"/>
        <w:keepNext w:val="0"/>
        <w:keepLines w:val="0"/>
        <w:shd w:val="clear" w:color="auto" w:fill="auto"/>
        <w:bidi w:val="0"/>
        <w:jc w:val="both"/>
        <w:spacing w:before="0" w:after="0"/>
        <w:ind w:left="40" w:right="20" w:firstLine="840"/>
      </w:pPr>
      <w:r>
        <w:rPr>
          <w:lang w:val="ru-RU" w:eastAsia="ru-RU" w:bidi="ru-RU"/>
          <w:w w:val="100"/>
          <w:spacing w:val="0"/>
          <w:color w:val="000000"/>
          <w:position w:val="0"/>
        </w:rPr>
        <w:t>Главного специалиста-эксперта отдела обжалования государственных закупок А.А. Кутейникова,</w:t>
      </w:r>
    </w:p>
    <w:p>
      <w:pPr>
        <w:pStyle w:val="Style5"/>
        <w:widowControl w:val="0"/>
        <w:keepNext w:val="0"/>
        <w:keepLines w:val="0"/>
        <w:shd w:val="clear" w:color="auto" w:fill="auto"/>
        <w:bidi w:val="0"/>
        <w:jc w:val="both"/>
        <w:spacing w:before="0" w:after="0" w:line="307" w:lineRule="exact"/>
        <w:ind w:left="40" w:right="20" w:firstLine="840"/>
      </w:pPr>
      <w:r>
        <w:rPr>
          <w:lang w:val="ru-RU" w:eastAsia="ru-RU" w:bidi="ru-RU"/>
          <w:w w:val="100"/>
          <w:spacing w:val="0"/>
          <w:color w:val="000000"/>
          <w:position w:val="0"/>
        </w:rPr>
        <w:t>рассмотрение жалобы проводилось дистанционно (посредством конференц</w:t>
        <w:softHyphen/>
        <w:t xml:space="preserve">связи) в целях исполнения Указа Мэра Москвы от 25.09.2020 № 92-УМ «О внесении изменений в правовые акты города Москвы» и предупреждения распространения в городе Москве инфекции, вызванной коронавирусом </w:t>
      </w:r>
      <w:r>
        <w:rPr>
          <w:lang w:val="en-US" w:eastAsia="en-US" w:bidi="en-US"/>
          <w:w w:val="100"/>
          <w:spacing w:val="0"/>
          <w:color w:val="000000"/>
          <w:position w:val="0"/>
        </w:rPr>
        <w:t>2019-nCoV.,</w:t>
      </w:r>
    </w:p>
    <w:p>
      <w:pPr>
        <w:pStyle w:val="Style3"/>
        <w:framePr w:w="1685" w:h="394" w:wrap="around" w:vAnchor="text" w:hAnchor="margin" w:x="375" w:y="3654"/>
        <w:widowControl w:val="0"/>
        <w:keepNext w:val="0"/>
        <w:keepLines w:val="0"/>
        <w:shd w:val="clear" w:color="auto" w:fill="auto"/>
        <w:bidi w:val="0"/>
        <w:jc w:val="left"/>
        <w:spacing w:before="0" w:after="0" w:line="240" w:lineRule="auto"/>
        <w:ind w:left="0" w:right="0" w:firstLine="0"/>
      </w:pPr>
      <w:r>
        <w:rPr>
          <w:w w:val="100"/>
          <w:spacing w:val="0"/>
          <w:color w:val="000000"/>
          <w:position w:val="0"/>
        </w:rPr>
        <w:t>001436443574</w:t>
      </w:r>
    </w:p>
    <w:p>
      <w:pPr>
        <w:pStyle w:val="Style5"/>
        <w:widowControl w:val="0"/>
        <w:keepNext w:val="0"/>
        <w:keepLines w:val="0"/>
        <w:shd w:val="clear" w:color="auto" w:fill="auto"/>
        <w:bidi w:val="0"/>
        <w:jc w:val="both"/>
        <w:spacing w:before="0" w:after="0" w:line="307" w:lineRule="exact"/>
        <w:ind w:left="40" w:right="20" w:firstLine="840"/>
      </w:pPr>
      <w:r>
        <w:rPr>
          <w:lang w:val="ru-RU" w:eastAsia="ru-RU" w:bidi="ru-RU"/>
          <w:w w:val="100"/>
          <w:spacing w:val="0"/>
          <w:color w:val="000000"/>
          <w:position w:val="0"/>
        </w:rPr>
        <w:t xml:space="preserve">при участии представителей ООО «ЗОДЧИЙ», ФКУ «ЦОКР», рассмотрев жалобу ООО «ЗОДЧИЙ» (далее — Заявитель) на действия ФКУ «ЦОКР» (далее — Заказчик) при проведении конкурса с ограниченным участием в электронной форме на право заключения государственного контракта на выполнение работ по приспособлению объекта культурного наследия федерального значения «Ансамбль зданий воспитательного дома и Опекунского совета, </w:t>
      </w:r>
      <w:r>
        <w:rPr>
          <w:lang w:val="en-US" w:eastAsia="en-US" w:bidi="en-US"/>
          <w:w w:val="100"/>
          <w:spacing w:val="0"/>
          <w:color w:val="000000"/>
          <w:position w:val="0"/>
        </w:rPr>
        <w:t xml:space="preserve">XVIII-XIX </w:t>
      </w:r>
      <w:r>
        <w:rPr>
          <w:lang w:val="ru-RU" w:eastAsia="ru-RU" w:bidi="ru-RU"/>
          <w:w w:val="100"/>
          <w:spacing w:val="0"/>
          <w:color w:val="000000"/>
          <w:position w:val="0"/>
        </w:rPr>
        <w:t>вв.: Московский институт акушерства (главный дом с боковыми флигелями и полукруглым служебным корпусом с проездной аркой соединены в одно здание поздней</w:t>
      </w:r>
      <w:r>
        <w:rPr>
          <w:rStyle w:val="CharStyle9"/>
        </w:rPr>
        <w:t>ши</w:t>
      </w:r>
      <w:r>
        <w:rPr>
          <w:lang w:val="ru-RU" w:eastAsia="ru-RU" w:bidi="ru-RU"/>
          <w:w w:val="100"/>
          <w:spacing w:val="0"/>
          <w:color w:val="000000"/>
          <w:position w:val="0"/>
        </w:rPr>
        <w:t>ми встройками)». 2 этап.», расположенного по адресу: г. Москва, ул. Солянка, д. 12-14, стр. 1. (капитальному ремонту кровли, фундамента, инженерных систем, электромонтажные работы и восстановительные работы по зданию)</w:t>
      </w:r>
      <w:r>
        <w:br w:type="page"/>
      </w:r>
    </w:p>
    <w:p>
      <w:pPr>
        <w:pStyle w:val="Style5"/>
        <w:widowControl w:val="0"/>
        <w:keepNext w:val="0"/>
        <w:keepLines w:val="0"/>
        <w:shd w:val="clear" w:color="auto" w:fill="auto"/>
        <w:bidi w:val="0"/>
        <w:jc w:val="both"/>
        <w:spacing w:before="0" w:after="334" w:line="302" w:lineRule="exact"/>
        <w:ind w:left="20" w:right="20" w:firstLine="0"/>
      </w:pPr>
      <w:r>
        <w:rPr>
          <w:lang w:val="ru-RU" w:eastAsia="ru-RU" w:bidi="ru-RU"/>
          <w:w w:val="100"/>
          <w:spacing w:val="0"/>
          <w:color w:val="000000"/>
          <w:position w:val="0"/>
        </w:rPr>
        <w:t>(Закупка № 0895100000121000252) (далее — Конкурс) в соответствии с Федеральным законом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w:t>
      </w:r>
      <w:r>
        <w:rPr>
          <w:rStyle w:val="CharStyle9"/>
        </w:rPr>
        <w:t>ици</w:t>
      </w:r>
      <w:r>
        <w:rPr>
          <w:lang w:val="ru-RU" w:eastAsia="ru-RU" w:bidi="ru-RU"/>
          <w:w w:val="100"/>
          <w:spacing w:val="0"/>
          <w:color w:val="000000"/>
          <w:position w:val="0"/>
        </w:rPr>
        <w:t>пальных нужд, утвержденным приказом ФАС России от 19.11.2014 №727/14 (далее - Административный регламент),</w:t>
      </w:r>
    </w:p>
    <w:p>
      <w:pPr>
        <w:pStyle w:val="Style10"/>
        <w:widowControl w:val="0"/>
        <w:keepNext/>
        <w:keepLines/>
        <w:shd w:val="clear" w:color="auto" w:fill="auto"/>
        <w:bidi w:val="0"/>
        <w:spacing w:before="0" w:after="319" w:line="260" w:lineRule="exact"/>
        <w:ind w:left="0" w:right="0" w:firstLine="0"/>
      </w:pPr>
      <w:bookmarkStart w:id="0" w:name="bookmark0"/>
      <w:r>
        <w:rPr>
          <w:lang w:val="ru-RU" w:eastAsia="ru-RU" w:bidi="ru-RU"/>
          <w:w w:val="100"/>
          <w:spacing w:val="0"/>
          <w:color w:val="000000"/>
          <w:position w:val="0"/>
        </w:rPr>
        <w:t>УСТАНОВИЛА:</w:t>
      </w:r>
      <w:bookmarkEnd w:id="0"/>
    </w:p>
    <w:p>
      <w:pPr>
        <w:pStyle w:val="Style5"/>
        <w:widowControl w:val="0"/>
        <w:keepNext w:val="0"/>
        <w:keepLines w:val="0"/>
        <w:shd w:val="clear" w:color="auto" w:fill="auto"/>
        <w:bidi w:val="0"/>
        <w:jc w:val="both"/>
        <w:spacing w:before="0" w:after="0" w:line="307" w:lineRule="exact"/>
        <w:ind w:left="20" w:right="20" w:firstLine="680"/>
      </w:pPr>
      <w:r>
        <w:rPr>
          <w:lang w:val="ru-RU" w:eastAsia="ru-RU" w:bidi="ru-RU"/>
          <w:w w:val="100"/>
          <w:spacing w:val="0"/>
          <w:color w:val="000000"/>
          <w:position w:val="0"/>
        </w:rPr>
        <w:t>В Московское УФАС России поступила жалоба Заявителя на действия Заказчика при проведении вышеуказанного конкурса.</w:t>
      </w:r>
    </w:p>
    <w:p>
      <w:pPr>
        <w:pStyle w:val="Style5"/>
        <w:widowControl w:val="0"/>
        <w:keepNext w:val="0"/>
        <w:keepLines w:val="0"/>
        <w:shd w:val="clear" w:color="auto" w:fill="auto"/>
        <w:bidi w:val="0"/>
        <w:jc w:val="both"/>
        <w:spacing w:before="0" w:after="0" w:line="307" w:lineRule="exact"/>
        <w:ind w:left="20" w:right="20" w:firstLine="680"/>
      </w:pPr>
      <w:r>
        <w:rPr>
          <w:lang w:val="ru-RU" w:eastAsia="ru-RU" w:bidi="ru-RU"/>
          <w:w w:val="100"/>
          <w:spacing w:val="0"/>
          <w:color w:val="000000"/>
          <w:position w:val="0"/>
        </w:rPr>
        <w:t>На заседании Комиссии Управления Заказчиком представлены запрашиваемые письмом Московского УФАС России исх.№ ЕИ/67386/21 от 03.11.2021, документы и сведения.</w:t>
      </w:r>
    </w:p>
    <w:p>
      <w:pPr>
        <w:pStyle w:val="Style5"/>
        <w:widowControl w:val="0"/>
        <w:keepNext w:val="0"/>
        <w:keepLines w:val="0"/>
        <w:shd w:val="clear" w:color="auto" w:fill="auto"/>
        <w:bidi w:val="0"/>
        <w:jc w:val="both"/>
        <w:spacing w:before="0" w:after="0" w:line="312" w:lineRule="exact"/>
        <w:ind w:left="20" w:right="20" w:firstLine="680"/>
      </w:pPr>
      <w:r>
        <w:rPr>
          <w:lang w:val="ru-RU" w:eastAsia="ru-RU" w:bidi="ru-RU"/>
          <w:w w:val="100"/>
          <w:spacing w:val="0"/>
          <w:color w:val="000000"/>
          <w:position w:val="0"/>
        </w:rPr>
        <w:t>В результате рассмотрения жалоб, рассмотрев представленные документы и сведения, Комиссия Управления установила следующее.</w:t>
      </w:r>
    </w:p>
    <w:p>
      <w:pPr>
        <w:pStyle w:val="Style5"/>
        <w:numPr>
          <w:ilvl w:val="0"/>
          <w:numId w:val="1"/>
        </w:numPr>
        <w:tabs>
          <w:tab w:leader="none" w:pos="1086" w:val="left"/>
        </w:tabs>
        <w:widowControl w:val="0"/>
        <w:keepNext w:val="0"/>
        <w:keepLines w:val="0"/>
        <w:shd w:val="clear" w:color="auto" w:fill="auto"/>
        <w:bidi w:val="0"/>
        <w:jc w:val="both"/>
        <w:spacing w:before="0" w:after="0" w:line="312" w:lineRule="exact"/>
        <w:ind w:left="20" w:right="20" w:firstLine="680"/>
      </w:pPr>
      <w:r>
        <w:rPr>
          <w:lang w:val="ru-RU" w:eastAsia="ru-RU" w:bidi="ru-RU"/>
          <w:w w:val="100"/>
          <w:spacing w:val="0"/>
          <w:color w:val="000000"/>
          <w:position w:val="0"/>
        </w:rPr>
        <w:t>Заявитель обжалует действия конкурсной комиссий Заказчика в части оценки заявки ООО «ТИВОЛИОН» в нарушение установленного в конкурсной документации порядка оценки заявок, а именно, по показателю «Общее количество исполненных контрактов (договоров) на выполнение работ сопоставимого характера» нестоимостного критерия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w:t>
      </w:r>
    </w:p>
    <w:p>
      <w:pPr>
        <w:pStyle w:val="Style5"/>
        <w:widowControl w:val="0"/>
        <w:keepNext w:val="0"/>
        <w:keepLines w:val="0"/>
        <w:shd w:val="clear" w:color="auto" w:fill="auto"/>
        <w:bidi w:val="0"/>
        <w:jc w:val="both"/>
        <w:spacing w:before="0" w:after="0" w:line="312" w:lineRule="exact"/>
        <w:ind w:left="20" w:right="20" w:firstLine="680"/>
      </w:pPr>
      <w:r>
        <w:rPr>
          <w:lang w:val="ru-RU" w:eastAsia="ru-RU" w:bidi="ru-RU"/>
          <w:w w:val="100"/>
          <w:spacing w:val="0"/>
          <w:color w:val="000000"/>
          <w:position w:val="0"/>
        </w:rPr>
        <w:t>В силу ч.4 ст.56.1 Закона о контрактной системе при проведении конкурса с ограниченным участием в электронной форме применяются положения Закона о контрактной системе о проведении открытого конкурса в электронной форме с учетом особенностей, определенных ст.56.1 Закона о контрактной системе.</w:t>
      </w:r>
    </w:p>
    <w:p>
      <w:pPr>
        <w:pStyle w:val="Style5"/>
        <w:widowControl w:val="0"/>
        <w:keepNext w:val="0"/>
        <w:keepLines w:val="0"/>
        <w:shd w:val="clear" w:color="auto" w:fill="auto"/>
        <w:bidi w:val="0"/>
        <w:jc w:val="both"/>
        <w:spacing w:before="0" w:after="0" w:line="312" w:lineRule="exact"/>
        <w:ind w:left="20" w:right="20" w:firstLine="680"/>
      </w:pPr>
      <w:r>
        <w:rPr>
          <w:lang w:val="ru-RU" w:eastAsia="ru-RU" w:bidi="ru-RU"/>
          <w:w w:val="100"/>
          <w:spacing w:val="0"/>
          <w:color w:val="000000"/>
          <w:position w:val="0"/>
        </w:rPr>
        <w:t>В соответствии с ч.6 ст.106 Закона о контрактной системе рассмотрение жалобы не осуществляется в отношении результатов оценки заявок на участие в конкурсе, в запросе предложений, окончательных предложений в соответствии с указанными в п.3 и п.4 ч.1 ст.32 Закона о контрактной системе критериями оценки этих заявок, окончательных предложений.</w:t>
      </w:r>
    </w:p>
    <w:p>
      <w:pPr>
        <w:pStyle w:val="Style5"/>
        <w:widowControl w:val="0"/>
        <w:keepNext w:val="0"/>
        <w:keepLines w:val="0"/>
        <w:shd w:val="clear" w:color="auto" w:fill="auto"/>
        <w:bidi w:val="0"/>
        <w:jc w:val="both"/>
        <w:spacing w:before="0" w:after="0" w:line="312" w:lineRule="exact"/>
        <w:ind w:left="20" w:right="20" w:firstLine="680"/>
      </w:pPr>
      <w:r>
        <w:rPr>
          <w:lang w:val="ru-RU" w:eastAsia="ru-RU" w:bidi="ru-RU"/>
          <w:w w:val="100"/>
          <w:spacing w:val="0"/>
          <w:color w:val="000000"/>
          <w:position w:val="0"/>
        </w:rPr>
        <w:t>Таким образом, предмет жалобы о присвоении результатов оценки по критерию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не относится к компетенции Комиссии Управления, и обжаловать такие результаты оценки заявок возможно исключительно в судебном порядке.</w:t>
      </w:r>
    </w:p>
    <w:p>
      <w:pPr>
        <w:pStyle w:val="Style5"/>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Вместе с тем Комиссией Управления проводится проверка действий конкурсной комиссии Заказчика в части применения установленного в конкурсной документации порядка оценки заявок на участие в конкурсе.</w:t>
      </w:r>
    </w:p>
    <w:p>
      <w:pPr>
        <w:pStyle w:val="Style5"/>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На основании ч.1 ст.32 Закона о контрактной системе для оценки заявок, окончательных предложений участников закупки заказчик в документации о закупке устанавливает следующие критерии:</w:t>
      </w:r>
    </w:p>
    <w:p>
      <w:pPr>
        <w:pStyle w:val="Style5"/>
        <w:numPr>
          <w:ilvl w:val="0"/>
          <w:numId w:val="3"/>
        </w:numPr>
        <w:widowControl w:val="0"/>
        <w:keepNext w:val="0"/>
        <w:keepLines w:val="0"/>
        <w:shd w:val="clear" w:color="auto" w:fill="auto"/>
        <w:bidi w:val="0"/>
        <w:jc w:val="both"/>
        <w:spacing w:before="0" w:after="0" w:line="322" w:lineRule="exact"/>
        <w:ind w:left="20" w:right="0" w:firstLine="720"/>
      </w:pPr>
      <w:r>
        <w:rPr>
          <w:lang w:val="ru-RU" w:eastAsia="ru-RU" w:bidi="ru-RU"/>
          <w:w w:val="100"/>
          <w:spacing w:val="0"/>
          <w:color w:val="000000"/>
          <w:position w:val="0"/>
        </w:rPr>
        <w:t xml:space="preserve"> цена контракта;</w:t>
      </w:r>
    </w:p>
    <w:p>
      <w:pPr>
        <w:pStyle w:val="Style5"/>
        <w:numPr>
          <w:ilvl w:val="0"/>
          <w:numId w:val="3"/>
        </w:numPr>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 xml:space="preserve"> расходы на эксплуатацию и ремонт товаров, использование результатов работ;</w:t>
      </w:r>
    </w:p>
    <w:p>
      <w:pPr>
        <w:pStyle w:val="Style5"/>
        <w:numPr>
          <w:ilvl w:val="0"/>
          <w:numId w:val="3"/>
        </w:numPr>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 xml:space="preserve"> качественные, функциональные и экологические характеристики объекта закупки;</w:t>
      </w:r>
    </w:p>
    <w:p>
      <w:pPr>
        <w:pStyle w:val="Style5"/>
        <w:numPr>
          <w:ilvl w:val="0"/>
          <w:numId w:val="3"/>
        </w:numPr>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 xml:space="preserve">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pPr>
        <w:pStyle w:val="Style5"/>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Согласно ч.8 ст.32 Закона о контрактной системе порядок оценки заявок, окончательных предложений участников закупки, в том числе предельные величины значимости каждого критерия, устанавливается Правительством Российской Федерации. Заказчик для целей оценки заявок, окончательных предложений участников закупки в случае, если в соответствии с законодательством Российской Федерации установлены регулируемые цены (тарифы) на товары, работы, услуги, вправе не использовать критерии, указанные в п.1 и 2 ч.1 ст.32 Закона о контрактной системе.</w:t>
      </w:r>
    </w:p>
    <w:p>
      <w:pPr>
        <w:pStyle w:val="Style5"/>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П.8 ч.1 ст.54.3 Закона о контрактной системе установлено, что конкурсная документация наряду с информацией, указанной в извещении о проведении открытого конкурса в электронной форме, должна содержать критерии оценки заявок на участие в открытом конкурсе в электронной форме, величины значимости этих критериев, порядок рассмотрения и оценки заявок на участие в открытом конкурсе в электронной форме в соответствии с Законом о контрактной системе.</w:t>
      </w:r>
    </w:p>
    <w:p>
      <w:pPr>
        <w:pStyle w:val="Style5"/>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Согласно п.3 Правил оценки заявок, окончательных предложений участников закупки товаров, работ, услуг для обеспечения государственных и муниципальных нужд, утвержденных постановлением Правительства Российской Федерации от 28.11.2013 № 1085 (далее - Правила), «оценка» - процесс выявления в соответствии с условиями определения поставщиков (подрядчиков, исполнителей) по критериям оценки и в порядке, установленном в документации о закупке в соответствии с требованиями Правил, лучших условий исполнения контракта, указанных в заявках (предложениях) участников закупки, которые не были отклонены.</w:t>
      </w:r>
    </w:p>
    <w:p>
      <w:pPr>
        <w:pStyle w:val="Style5"/>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В соответствии с п.11 Правил по каждому критерию оценки используется 100-балльная шкала оценки. Если в соответствии с п.10 Правил в отношении критерия оценки в документации о закупке заказчиком предусматриваются показатели, то для каждого показателя устанавливается его значимость, в соответствии с которой будет производиться оценка, и формула расчета количества баллов, присуждаемых по таким показателям, или шкала предельных величин значимости показателей оценки, устанавливающая интервалы их изменений, или порядок их определения. Для оценки заявок (предложений) по нестоимостным критериям оценки (показателям) заказчик вправе устанавливать предельно необходимое минимальное или максимальное количественное значение качественных, функциональных, экологических и квалификационных характеристик, которые подлежат оценке в рамках указанных критериев. В этом случае при оценке заявок (предложений) по таким критериям (показателям) участникам закупки, сделавшим предложение, соответствующее такому значению, или лучшее предложение, присваивается 100 баллов. Сумма величин значимости показателей критерия оценки должна составлять 100 процентов.</w:t>
      </w:r>
    </w:p>
    <w:p>
      <w:pPr>
        <w:pStyle w:val="Style5"/>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На основании изложенного, при наличии в документации о закупке показателей нестоимостного критерия, порядок оценки должен содержать:</w:t>
      </w:r>
    </w:p>
    <w:p>
      <w:pPr>
        <w:pStyle w:val="Style5"/>
        <w:numPr>
          <w:ilvl w:val="0"/>
          <w:numId w:val="5"/>
        </w:numPr>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 xml:space="preserve"> значимость в отношении каждого показателя, которая в соответствии с п.3 Правил является выраженным в процентах весом показателя;</w:t>
      </w:r>
    </w:p>
    <w:p>
      <w:pPr>
        <w:pStyle w:val="Style5"/>
        <w:numPr>
          <w:ilvl w:val="0"/>
          <w:numId w:val="5"/>
        </w:numPr>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 xml:space="preserve"> сумму величин значимости показателей критерия оценки в размере 100 процентов;</w:t>
      </w:r>
    </w:p>
    <w:p>
      <w:pPr>
        <w:pStyle w:val="Style5"/>
        <w:numPr>
          <w:ilvl w:val="0"/>
          <w:numId w:val="5"/>
        </w:numPr>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 xml:space="preserve"> формулу расчета или шкалу количества баллов, предусматривающую присвоение по каждому показателю от 0 до 100 баллов (для дальнейшего умножения на коэффициент значимости показателя).</w:t>
      </w:r>
    </w:p>
    <w:p>
      <w:pPr>
        <w:pStyle w:val="Style5"/>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В силу ч.6 ст.54.7 Закона о контрактной системе конкурсная комиссия осуществляет оценку вторых частей заявок на участие в открытом конкурсе в электронной форме, в отношении которых принято решение о соответствии требованиям, установленным конкурсной документацией, для выявления победителя такого конкурса на основе критериев, указанных в конкурсной документации и относящихся ко второй части заявки (при установлении этих критериев в конкурсной документации).</w:t>
      </w:r>
    </w:p>
    <w:p>
      <w:pPr>
        <w:pStyle w:val="Style5"/>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Комиссией Управления установлено, что порядок оценки конкурсных заявок содержит следующие положения в отношении оценки показателя «Общее количество исполненных контрактов (договоров) на выполнение работ сопоставимого характера» нестоимостного критерия:</w:t>
      </w:r>
    </w:p>
    <w:p>
      <w:pPr>
        <w:pStyle w:val="Style5"/>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«Под работами сопоставимого характера понимается выполнение работ по сохранению объектов культурного наследия, строительству, реконструкции, капитальному ремонту объектов капитального строительства (НЦБП), подтверждается количеством исполненных контрактов (договоров).</w:t>
      </w:r>
    </w:p>
    <w:p>
      <w:pPr>
        <w:pStyle w:val="Style5"/>
        <w:widowControl w:val="0"/>
        <w:keepNext w:val="0"/>
        <w:keepLines w:val="0"/>
        <w:shd w:val="clear" w:color="auto" w:fill="auto"/>
        <w:bidi w:val="0"/>
        <w:jc w:val="both"/>
        <w:spacing w:before="0" w:after="0" w:line="322" w:lineRule="exact"/>
        <w:ind w:left="20" w:right="0" w:firstLine="720"/>
      </w:pPr>
      <w:r>
        <w:rPr>
          <w:lang w:val="ru-RU" w:eastAsia="ru-RU" w:bidi="ru-RU"/>
          <w:w w:val="100"/>
          <w:spacing w:val="0"/>
          <w:color w:val="000000"/>
          <w:position w:val="0"/>
        </w:rPr>
        <w:t>Коэффициент значимости показателя: 0,7</w:t>
      </w:r>
    </w:p>
    <w:p>
      <w:pPr>
        <w:pStyle w:val="Style5"/>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Порядок оценки: Количество баллов, присуждаемых по показателю (</w:t>
      </w:r>
      <w:r>
        <w:rPr>
          <w:rStyle w:val="CharStyle9"/>
        </w:rPr>
        <w:t>НЦ</w:t>
      </w:r>
      <w:r>
        <w:rPr>
          <w:lang w:val="ru-RU" w:eastAsia="ru-RU" w:bidi="ru-RU"/>
          <w:w w:val="100"/>
          <w:spacing w:val="0"/>
          <w:color w:val="000000"/>
          <w:position w:val="0"/>
        </w:rPr>
        <w:t>БЛ), определяется по формуле:</w:t>
      </w:r>
    </w:p>
    <w:p>
      <w:pPr>
        <w:pStyle w:val="Style5"/>
        <w:widowControl w:val="0"/>
        <w:keepNext w:val="0"/>
        <w:keepLines w:val="0"/>
        <w:shd w:val="clear" w:color="auto" w:fill="auto"/>
        <w:bidi w:val="0"/>
        <w:jc w:val="both"/>
        <w:spacing w:before="0" w:after="0" w:line="322" w:lineRule="exact"/>
        <w:ind w:left="20" w:right="0" w:firstLine="720"/>
      </w:pPr>
      <w:r>
        <w:rPr>
          <w:rStyle w:val="CharStyle9"/>
        </w:rPr>
        <w:t>НЦБ</w:t>
      </w:r>
      <w:r>
        <w:rPr>
          <w:lang w:val="ru-RU" w:eastAsia="ru-RU" w:bidi="ru-RU"/>
          <w:w w:val="100"/>
          <w:spacing w:val="0"/>
          <w:color w:val="000000"/>
          <w:position w:val="0"/>
        </w:rPr>
        <w:t xml:space="preserve">Г1 = КЗ </w:t>
      </w:r>
      <w:r>
        <w:rPr>
          <w:lang w:val="en-US" w:eastAsia="en-US" w:bidi="en-US"/>
          <w:w w:val="100"/>
          <w:spacing w:val="0"/>
          <w:color w:val="000000"/>
          <w:position w:val="0"/>
        </w:rPr>
        <w:t xml:space="preserve">x </w:t>
      </w:r>
      <w:r>
        <w:rPr>
          <w:lang w:val="ru-RU" w:eastAsia="ru-RU" w:bidi="ru-RU"/>
          <w:w w:val="100"/>
          <w:spacing w:val="0"/>
          <w:color w:val="000000"/>
          <w:position w:val="0"/>
        </w:rPr>
        <w:t xml:space="preserve">100 </w:t>
      </w:r>
      <w:r>
        <w:rPr>
          <w:lang w:val="en-US" w:eastAsia="en-US" w:bidi="en-US"/>
          <w:w w:val="100"/>
          <w:spacing w:val="0"/>
          <w:color w:val="000000"/>
          <w:position w:val="0"/>
        </w:rPr>
        <w:t xml:space="preserve">x </w:t>
      </w:r>
      <w:r>
        <w:rPr>
          <w:lang w:val="ru-RU" w:eastAsia="ru-RU" w:bidi="ru-RU"/>
          <w:w w:val="100"/>
          <w:spacing w:val="0"/>
          <w:color w:val="000000"/>
          <w:position w:val="0"/>
        </w:rPr>
        <w:t>(К / Ктах),где:</w:t>
      </w:r>
    </w:p>
    <w:p>
      <w:pPr>
        <w:pStyle w:val="Style5"/>
        <w:widowControl w:val="0"/>
        <w:keepNext w:val="0"/>
        <w:keepLines w:val="0"/>
        <w:shd w:val="clear" w:color="auto" w:fill="auto"/>
        <w:bidi w:val="0"/>
        <w:jc w:val="both"/>
        <w:spacing w:before="0" w:after="0" w:line="322" w:lineRule="exact"/>
        <w:ind w:left="20" w:right="0" w:firstLine="720"/>
      </w:pPr>
      <w:r>
        <w:rPr>
          <w:lang w:val="ru-RU" w:eastAsia="ru-RU" w:bidi="ru-RU"/>
          <w:w w:val="100"/>
          <w:spacing w:val="0"/>
          <w:color w:val="000000"/>
          <w:position w:val="0"/>
        </w:rPr>
        <w:t>КЗ - коэффициент значимости показателя;</w:t>
      </w:r>
    </w:p>
    <w:p>
      <w:pPr>
        <w:pStyle w:val="Style5"/>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К - предложение участника закупки, заявка (предложение) которого оценивается;</w:t>
      </w:r>
    </w:p>
    <w:p>
      <w:pPr>
        <w:pStyle w:val="Style5"/>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Ктах - максимальное предложение из предложений по показателю оценки, сделанных участниками закупки.</w:t>
      </w:r>
    </w:p>
    <w:p>
      <w:pPr>
        <w:pStyle w:val="Style5"/>
        <w:widowControl w:val="0"/>
        <w:keepNext w:val="0"/>
        <w:keepLines w:val="0"/>
        <w:shd w:val="clear" w:color="auto" w:fill="auto"/>
        <w:bidi w:val="0"/>
        <w:jc w:val="both"/>
        <w:spacing w:before="0" w:after="0" w:line="322" w:lineRule="exact"/>
        <w:ind w:left="20" w:right="0" w:firstLine="720"/>
      </w:pPr>
      <w:r>
        <w:rPr>
          <w:lang w:val="ru-RU" w:eastAsia="ru-RU" w:bidi="ru-RU"/>
          <w:w w:val="100"/>
          <w:spacing w:val="0"/>
          <w:color w:val="000000"/>
          <w:position w:val="0"/>
        </w:rPr>
        <w:t>Луч</w:t>
      </w:r>
      <w:r>
        <w:rPr>
          <w:rStyle w:val="CharStyle9"/>
        </w:rPr>
        <w:t>ши</w:t>
      </w:r>
      <w:r>
        <w:rPr>
          <w:lang w:val="ru-RU" w:eastAsia="ru-RU" w:bidi="ru-RU"/>
          <w:w w:val="100"/>
          <w:spacing w:val="0"/>
          <w:color w:val="000000"/>
          <w:position w:val="0"/>
        </w:rPr>
        <w:t>м условием исполнения контракта по показателю является наибольшее значение показателя.</w:t>
      </w:r>
    </w:p>
    <w:p>
      <w:pPr>
        <w:pStyle w:val="Style5"/>
        <w:widowControl w:val="0"/>
        <w:keepNext w:val="0"/>
        <w:keepLines w:val="0"/>
        <w:shd w:val="clear" w:color="auto" w:fill="auto"/>
        <w:bidi w:val="0"/>
        <w:jc w:val="both"/>
        <w:spacing w:before="0" w:after="0" w:line="322" w:lineRule="exact"/>
        <w:ind w:left="20" w:right="0" w:firstLine="720"/>
      </w:pPr>
      <w:r>
        <w:rPr>
          <w:lang w:val="ru-RU" w:eastAsia="ru-RU" w:bidi="ru-RU"/>
          <w:w w:val="100"/>
          <w:spacing w:val="0"/>
          <w:color w:val="000000"/>
          <w:position w:val="0"/>
        </w:rPr>
        <w:t>Оценка в 0 баллов по показателю будет присвоена:</w:t>
      </w:r>
    </w:p>
    <w:p>
      <w:pPr>
        <w:pStyle w:val="Style5"/>
        <w:numPr>
          <w:ilvl w:val="0"/>
          <w:numId w:val="7"/>
        </w:numPr>
        <w:widowControl w:val="0"/>
        <w:keepNext w:val="0"/>
        <w:keepLines w:val="0"/>
        <w:shd w:val="clear" w:color="auto" w:fill="auto"/>
        <w:bidi w:val="0"/>
        <w:jc w:val="both"/>
        <w:spacing w:before="0" w:after="0" w:line="322" w:lineRule="exact"/>
        <w:ind w:left="20" w:right="0" w:firstLine="720"/>
      </w:pPr>
      <w:r>
        <w:rPr>
          <w:lang w:val="ru-RU" w:eastAsia="ru-RU" w:bidi="ru-RU"/>
          <w:w w:val="100"/>
          <w:spacing w:val="0"/>
          <w:color w:val="000000"/>
          <w:position w:val="0"/>
        </w:rPr>
        <w:t xml:space="preserve"> участнику закупки, который не имеет опыта сопоставимого характера;</w:t>
      </w:r>
    </w:p>
    <w:p>
      <w:pPr>
        <w:pStyle w:val="Style5"/>
        <w:numPr>
          <w:ilvl w:val="0"/>
          <w:numId w:val="7"/>
        </w:numPr>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 xml:space="preserve"> участнику закупки, который не представил в составе своей заявки документы (копии документов), подтверждающие сведения о наличии опыта по успешному выполнению работ сопоставимого характера за указанный в показателе период».</w:t>
      </w:r>
    </w:p>
    <w:p>
      <w:pPr>
        <w:pStyle w:val="Style5"/>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Согласно ч. 9 ст. 105 Закона о контрактной системе к жалобе прикладываются документы, подтверждающие ее обоснованность. При этом жалоба должна содержать перечень прилагаемых к ней документов.</w:t>
      </w:r>
    </w:p>
    <w:p>
      <w:pPr>
        <w:pStyle w:val="Style5"/>
        <w:tabs>
          <w:tab w:leader="none" w:pos="6620" w:val="right"/>
          <w:tab w:leader="none" w:pos="6932" w:val="center"/>
          <w:tab w:leader="none" w:pos="7383" w:val="left"/>
          <w:tab w:leader="none" w:pos="10191" w:val="right"/>
        </w:tabs>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Согласно доводам жалобы, по мнению Заявителя, конкурсной комиссией Заказчика неправомерно</w:t>
        <w:tab/>
        <w:t>принято решения</w:t>
        <w:tab/>
        <w:t>о</w:t>
        <w:tab/>
        <w:t>присвоении</w:t>
        <w:tab/>
        <w:t>заявке</w:t>
      </w:r>
    </w:p>
    <w:p>
      <w:pPr>
        <w:pStyle w:val="Style5"/>
        <w:widowControl w:val="0"/>
        <w:keepNext w:val="0"/>
        <w:keepLines w:val="0"/>
        <w:shd w:val="clear" w:color="auto" w:fill="auto"/>
        <w:bidi w:val="0"/>
        <w:jc w:val="both"/>
        <w:spacing w:before="0" w:after="0" w:line="322" w:lineRule="exact"/>
        <w:ind w:left="20" w:right="20" w:firstLine="0"/>
      </w:pPr>
      <w:r>
        <w:rPr>
          <w:lang w:val="ru-RU" w:eastAsia="ru-RU" w:bidi="ru-RU"/>
          <w:w w:val="100"/>
          <w:spacing w:val="0"/>
          <w:color w:val="000000"/>
          <w:position w:val="0"/>
        </w:rPr>
        <w:t>ООО «ТИВОЛИОН» по показателю «Общее количество исполненных контрактов (договоров) на выполнение работ сопоставимого характера» 70 баллов, поскольку, исходя из сведений размещенных в открытых источниках, ООО «ТИВОЛИОН» не имеет исполненных контрактов соответствующих установленному порядку оценки.</w:t>
      </w:r>
    </w:p>
    <w:p>
      <w:pPr>
        <w:pStyle w:val="Style5"/>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В соответствии с ч.2 ст.106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и участвовать в ее рассмотрении лично или через своих представителей.</w:t>
      </w:r>
    </w:p>
    <w:p>
      <w:pPr>
        <w:pStyle w:val="Style5"/>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На заседании Комиссии Управления представители Заказчика пояснили, что порядком оценки под работами сопоставимого характера понимается выполнение работ как по сохранению объектов культурного наследия, так, и по строительству, реконструкции, капитальному ремонту объектов капитального строительства, при этом в составе заявки ООО «ТИВОЛИОН» были представлены соответствующие копии контрактов/договоров, а также документы об их исполнении, в частности, представлены контракты на выполнение капитального ремонта объектов капитального строительства. Данные документы были рассмотрены в соответствии с утвержденным порядком оценки, содержат все необходимые печати и подписи, соответствовали по срокам и объемам исполнения, предусмотренным установленным порядком оценки.</w:t>
      </w:r>
    </w:p>
    <w:p>
      <w:pPr>
        <w:pStyle w:val="Style5"/>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Таким образом, представитель Заказчика пояснил, что конкурсная комиссия Заказчика правомерно оценила заявку ООО «ТИВОЛИОН».</w:t>
      </w:r>
    </w:p>
    <w:p>
      <w:pPr>
        <w:pStyle w:val="Style5"/>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Вместе с тем на заседании Комиссии Управления представителем Заявителя не представлены документы и сведения, свидетельствующие о нарушении конкурсной комиссией Заказчика норм Закона о контрактной системе и несоблюдении конкурсной комиссией Заказчика порядка оценки заявки ООО «ТИВОЛИОН» относительно обжалуемого показателя.</w:t>
      </w:r>
    </w:p>
    <w:p>
      <w:pPr>
        <w:pStyle w:val="Style5"/>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Таким образом, Комиссия Управления приходит к выводу, что действия конкурсной комиссии Заказчика при оценке заявки ООО «ТИВОЛИОН» по показателю «Общее количество исполненных контрактов (договоров) на выполнение работ сопоставимого характера» являются правомерными и не противоречат порядку оценки, установленному в конкурсной документации, а также нормам Закона о контрактной системе.</w:t>
      </w:r>
    </w:p>
    <w:p>
      <w:pPr>
        <w:pStyle w:val="Style5"/>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2. Также в составе жалобы Заявитель указывает на то, что конкурсной комиссией Заказчика неправомерно принято решение о признании заявки ООО «ТИВОЛИОН» соответствующей требованиям конкурсной документации, поскольку заявка данного участника не соответствует дополнительным требованиям установленным в соответствии с п.1 (1) Приложения № 1 к постановлению Правительства РФ от 04.02.2015 № 99 «Об установлении дополнительных требований к участникам закупки отдельных видов товаров, работ, услуг, случаев отнесения товаров, работ, услуг к товарам, работам, услугам, которые по причине их технической и (или) технологической сложности, инновационного, высокотехнологичного или специализированного характера способны поставить, выполнить, оказать только поставщики (подрядчики, исполнители), имеющие необходимый уровень квалификации, а также документов, подтверждающих соответствие участников закупки указанным дополнительным требованиям» (вместе с «Дополнительными требованиями к участникам закупки отдельных видов товаров, работ, услуг, закупки которых осуществляются путем проведения конкурсов с ограниченным участием, двухэтапных конкурсов, закрытых конкурсов с ограниченным участием, закрытых двухэтапных конкурсов или аукционов») (далее - постановление Правительства №99).</w:t>
      </w:r>
    </w:p>
    <w:p>
      <w:pPr>
        <w:pStyle w:val="Style5"/>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В силу п.1 ч.1 ст.31 Закона о контрактной системе при осуществлении закупки заказчик устанавливает единое требование к участникам закупки о соответствии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pPr>
        <w:pStyle w:val="Style5"/>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В силу ч.2 ст.31 Закона о контрактной системе Правительство Российской Федерации вправе устанавливать к участникам закупок отдельных видов товаров, работ, услуг, закупки которых осуществляются путем проведения конкурсов с ограниченным участием, двухэтапных конкурсов, закрытых конкурсов с ограниченным участием, закрытых двухэтапных конкурсов или аукционов, дополнительные требования, в том числе к наличию:</w:t>
      </w:r>
    </w:p>
    <w:p>
      <w:pPr>
        <w:pStyle w:val="Style5"/>
        <w:numPr>
          <w:ilvl w:val="0"/>
          <w:numId w:val="9"/>
        </w:numPr>
        <w:widowControl w:val="0"/>
        <w:keepNext w:val="0"/>
        <w:keepLines w:val="0"/>
        <w:shd w:val="clear" w:color="auto" w:fill="auto"/>
        <w:bidi w:val="0"/>
        <w:jc w:val="both"/>
        <w:spacing w:before="0" w:after="0" w:line="322" w:lineRule="exact"/>
        <w:ind w:left="20" w:right="0" w:firstLine="720"/>
      </w:pPr>
      <w:r>
        <w:rPr>
          <w:lang w:val="ru-RU" w:eastAsia="ru-RU" w:bidi="ru-RU"/>
          <w:w w:val="100"/>
          <w:spacing w:val="0"/>
          <w:color w:val="000000"/>
          <w:position w:val="0"/>
        </w:rPr>
        <w:t xml:space="preserve"> финансовых ресурсов для исполнения контракта;</w:t>
      </w:r>
    </w:p>
    <w:p>
      <w:pPr>
        <w:pStyle w:val="Style5"/>
        <w:numPr>
          <w:ilvl w:val="0"/>
          <w:numId w:val="9"/>
        </w:numPr>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на праве собственности или ином законном основании оборудования и других материальных ресурсов для исполнения контракта;</w:t>
      </w:r>
    </w:p>
    <w:p>
      <w:pPr>
        <w:pStyle w:val="Style5"/>
        <w:numPr>
          <w:ilvl w:val="0"/>
          <w:numId w:val="9"/>
        </w:numPr>
        <w:widowControl w:val="0"/>
        <w:keepNext w:val="0"/>
        <w:keepLines w:val="0"/>
        <w:shd w:val="clear" w:color="auto" w:fill="auto"/>
        <w:bidi w:val="0"/>
        <w:jc w:val="both"/>
        <w:spacing w:before="0" w:after="0" w:line="322" w:lineRule="exact"/>
        <w:ind w:left="20" w:right="0" w:firstLine="720"/>
      </w:pPr>
      <w:r>
        <w:rPr>
          <w:lang w:val="ru-RU" w:eastAsia="ru-RU" w:bidi="ru-RU"/>
          <w:w w:val="100"/>
          <w:spacing w:val="0"/>
          <w:color w:val="000000"/>
          <w:position w:val="0"/>
        </w:rPr>
        <w:t xml:space="preserve"> опыта работы, связанного с предметом контракта, и деловой репутации;</w:t>
      </w:r>
    </w:p>
    <w:p>
      <w:pPr>
        <w:pStyle w:val="Style5"/>
        <w:numPr>
          <w:ilvl w:val="0"/>
          <w:numId w:val="9"/>
        </w:numPr>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 xml:space="preserve"> необходимого количества специалистов и иных работников определенного уровня квалификации для исполнения контракта.</w:t>
      </w:r>
    </w:p>
    <w:p>
      <w:pPr>
        <w:pStyle w:val="Style5"/>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В силу п.1 (1) Приложения № 1 к постановлению Правительства №99 при проведение работ по сохранению объектов культурного наследия (памятников истории и культуры) народов Российской Федерации, при которых не затрагиваются конструктивные и другие характеристики надежности и безопасности объекта культурного наследия Заказчиком устанавливаются дополнительные требования к участникам закупки о наличии за последние 3 года до даты подачи заявки на участие в закупке опыта исполнения (с учетом правопреемства) одного контракта (договора) на проведение работ по сохранению объектов культурного наследия (памятников истории и культуры) народов Российской Федерации, при которых затрагиваются конструктивные и другие характеристики надежности и безопасности объекта культурного наследия, либо одного контракта (договора), заключенного в соответствии с Федеральным законом «О контрактной системе в сфере закупок товаров, работ, услуг для обеспечения государственных и муниципальных нужд» или Федеральным законом «О закупках товаров, работ, услуг отдельными видами юридических лиц», на проведение работ по сохранению объектов культурного наследия (памятников истории и культуры) народов Российской Федерации, при которых не затрагиваются конструктивные и другие характеристики надежности и безопасности объекта культурного наследия.</w:t>
      </w:r>
    </w:p>
    <w:p>
      <w:pPr>
        <w:pStyle w:val="Style5"/>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При этом стоимость такого одного контракта (договора) составляет не менее 20 процентов начальной (максимальной) цены контракта, договора (цены лота), на право заключить который проводится закупка.</w:t>
      </w:r>
    </w:p>
    <w:p>
      <w:pPr>
        <w:pStyle w:val="Style5"/>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Документы, подтверждающие соответствие участников закупки дополнительным требованиям:</w:t>
      </w:r>
    </w:p>
    <w:p>
      <w:pPr>
        <w:pStyle w:val="Style5"/>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копия исполненного контракта (договора) на проведение работ по сохранению объектов культурного наследия (памятников истории и культуры) народов Российской Федерации, при которых затрагиваются конструктивные и другие характеристики надежности и безопасности объекта культурного наследия, либо копия контракта (договора), сведения о котором содержатся в реестре контрактов, заключенных заказчиками в соответствии с Федеральным законом «О контрактной системе в сфере закупок товаров, работ, услуг для обеспечения государственных и муниципальных нужд», или в реестре договоров, заключенных заказчиками по результатам закупки в соответствии с Федеральным законом «О закупках товаров, работ, услуг отдельными видами юридических лиц», на проведение работ по сохранению объектов культурного наследия (памятников истории и культуры) народов Российской Федерации, при которых не затрагиваются конструктивные и другие характеристики надежности и безопасности объекта культурного наследия;</w:t>
      </w:r>
    </w:p>
    <w:p>
      <w:pPr>
        <w:pStyle w:val="Style5"/>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копия акта (актов) выполненных работ, содержащего (содержащих) все обязательные реквизиты, установленные частью 2 статьи 9 Федерального закона «О бухгалтерском учете», и подтверждающего (подтверждающих) стоимость исполненного контракта (договора) (за исключением случая, если застройщик является лицом, осуществляющим строительство).</w:t>
      </w:r>
    </w:p>
    <w:p>
      <w:pPr>
        <w:pStyle w:val="Style5"/>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Указанный документ (документы) должен быть подписан (подписаны) не ранее чем за 3 года до даты окончания срока подачи заявок на участие в закупке;</w:t>
      </w:r>
    </w:p>
    <w:p>
      <w:pPr>
        <w:pStyle w:val="Style5"/>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копия разрешения на ввод объекта капитального строительства в эксплуатацию (за исключением случаев, при которых разрешение на ввод объекта капитального строительства в эксплуатацию не выдается в соответствии с законодательством о градостроительной деятельности).</w:t>
      </w:r>
    </w:p>
    <w:p>
      <w:pPr>
        <w:pStyle w:val="Style5"/>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Указанный документ должен быть подписан не ранее чем за 3 года до даты окончания срока подачи заявок на участие в закупке.</w:t>
      </w:r>
    </w:p>
    <w:p>
      <w:pPr>
        <w:pStyle w:val="Style5"/>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Согласно ч.4 ст.31 Закона о контрактной системе в случае установления Правительством Российской Федерации в соответствии с ч.2 ст.31 Закона о контрактной системе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pPr>
        <w:pStyle w:val="Style5"/>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Согласно ч.5ст.31 Закона о контрактной системе информация об установленных требованиях в соответствии с частями 1, 1.1, 2 и 2.1 ст.31 Закона о контрактной системе указывается заказчиком в извещении об осуществлении закупки и документации о закупке.</w:t>
      </w:r>
    </w:p>
    <w:p>
      <w:pPr>
        <w:pStyle w:val="Style5"/>
        <w:numPr>
          <w:ilvl w:val="0"/>
          <w:numId w:val="11"/>
        </w:numPr>
        <w:tabs>
          <w:tab w:leader="none" w:pos="2050" w:val="center"/>
          <w:tab w:leader="none" w:pos="3380" w:val="right"/>
          <w:tab w:leader="none" w:pos="3553" w:val="center"/>
          <w:tab w:leader="none" w:pos="5238" w:val="right"/>
          <w:tab w:leader="none" w:pos="5382" w:val="left"/>
          <w:tab w:leader="none" w:pos="1676" w:val="left"/>
        </w:tabs>
        <w:widowControl w:val="0"/>
        <w:keepNext w:val="0"/>
        <w:keepLines w:val="0"/>
        <w:shd w:val="clear" w:color="auto" w:fill="auto"/>
        <w:bidi w:val="0"/>
        <w:jc w:val="both"/>
        <w:spacing w:before="0" w:after="0" w:line="322" w:lineRule="exact"/>
        <w:ind w:left="20" w:right="0" w:firstLine="720"/>
      </w:pPr>
      <w:r>
        <w:rPr>
          <w:lang w:val="ru-RU" w:eastAsia="ru-RU" w:bidi="ru-RU"/>
          <w:w w:val="100"/>
          <w:spacing w:val="0"/>
          <w:color w:val="000000"/>
          <w:position w:val="0"/>
        </w:rPr>
        <w:t>ст.56.1</w:t>
        <w:tab/>
        <w:t>Закона</w:t>
        <w:tab/>
        <w:t>о</w:t>
        <w:tab/>
        <w:t>контрактной</w:t>
        <w:tab/>
        <w:t>системе установлено, что в отношении</w:t>
      </w:r>
    </w:p>
    <w:p>
      <w:pPr>
        <w:pStyle w:val="Style5"/>
        <w:widowControl w:val="0"/>
        <w:keepNext w:val="0"/>
        <w:keepLines w:val="0"/>
        <w:shd w:val="clear" w:color="auto" w:fill="auto"/>
        <w:bidi w:val="0"/>
        <w:jc w:val="both"/>
        <w:spacing w:before="0" w:after="0" w:line="322" w:lineRule="exact"/>
        <w:ind w:left="20" w:right="20" w:firstLine="0"/>
      </w:pPr>
      <w:r>
        <w:rPr>
          <w:lang w:val="ru-RU" w:eastAsia="ru-RU" w:bidi="ru-RU"/>
          <w:w w:val="100"/>
          <w:spacing w:val="0"/>
          <w:color w:val="000000"/>
          <w:position w:val="0"/>
        </w:rPr>
        <w:t>участников конкурса с ограниченным участием в электронной форме наряду с требованиями, установленными ч.1, ч.1.1 (при наличии такого требования) ст.31 Закона о контрактной системе, предъявляются дополнительные требования, установленные в соответствии с ч.2 ст.31 Закона о контрактной системе закона. При этом дополнительные требования не могут использоваться в качестве критерия оценки заявок на участие в конкурсе с ограниченным участием в электронной форме.</w:t>
      </w:r>
    </w:p>
    <w:p>
      <w:pPr>
        <w:pStyle w:val="Style5"/>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В силу ч.6 ст.56.1 Закона о контрактной системе извещение о проведении конкурса с ограниченным участием в электронной форме и конкурсная документация наряду с информацией, предусмотренной ст.54.2 и 54.3 Закона о контрактной системе, должны содержать указание на установленные в соответствии с ч.5 ст.56.1 Закона о контрактной системе дополнительные требования к участникам закупки.</w:t>
      </w:r>
    </w:p>
    <w:p>
      <w:pPr>
        <w:pStyle w:val="Style5"/>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На заседании Комиссии Управления установлено, что Заказчиком в п.18 Информационной карты конкурсной документации установлено требование к участникам закупки о наличии за последние 3 года до даты подачи заявки на участие в закупке опыта исполнения (с учетом правопреемства) одного контракта (договора) на проведение работ по сохранению объектов культурного наследия (памятников истории и культуры) народов Российской Федерации, при которых затрагиваются конструктивные и другие характеристики надежности и безопасности объекта культурного наследия, либо одного контракта (договора), заключенного в соответствии с Федеральным законом «О контрактной системе в сфере закупок товаров, работ, услуг для обеспечения государственных и муниципальных нужд» или Федеральным законом «О закупках товаров, работ, услуг отдельными видами юридических лиц», на проведение работ по сохранению объектов культурного наследия (памятников истории и культуры) народов Российской Федерации, при которых не затрагиваются конструктивные и другие характеристики надежности и безопасности объекта культурного наследия. При этом стоимость такого одного контракта (договора) составляет не менее 20 процентов начальной (максимальной) цены контракта, договора (цены лота), на право заключить который проводится закупка.</w:t>
      </w:r>
    </w:p>
    <w:p>
      <w:pPr>
        <w:pStyle w:val="Style5"/>
        <w:tabs>
          <w:tab w:leader="none" w:pos="3284" w:val="left"/>
        </w:tabs>
        <w:widowControl w:val="0"/>
        <w:keepNext w:val="0"/>
        <w:keepLines w:val="0"/>
        <w:shd w:val="clear" w:color="auto" w:fill="auto"/>
        <w:bidi w:val="0"/>
        <w:jc w:val="both"/>
        <w:spacing w:before="0" w:after="0" w:line="322" w:lineRule="exact"/>
        <w:ind w:left="20" w:right="0" w:firstLine="720"/>
      </w:pPr>
      <w:r>
        <w:rPr>
          <w:lang w:val="ru-RU" w:eastAsia="ru-RU" w:bidi="ru-RU"/>
          <w:w w:val="100"/>
          <w:spacing w:val="0"/>
          <w:color w:val="000000"/>
          <w:position w:val="0"/>
        </w:rPr>
        <w:t>В силу п.4 ч.1</w:t>
        <w:tab/>
        <w:t>ст.54.3 Закона о контрактной системе конкурсная</w:t>
      </w:r>
    </w:p>
    <w:p>
      <w:pPr>
        <w:pStyle w:val="Style5"/>
        <w:widowControl w:val="0"/>
        <w:keepNext w:val="0"/>
        <w:keepLines w:val="0"/>
        <w:shd w:val="clear" w:color="auto" w:fill="auto"/>
        <w:bidi w:val="0"/>
        <w:jc w:val="both"/>
        <w:spacing w:before="0" w:after="0" w:line="322" w:lineRule="exact"/>
        <w:ind w:left="20" w:right="20" w:firstLine="0"/>
      </w:pPr>
      <w:r>
        <w:rPr>
          <w:lang w:val="ru-RU" w:eastAsia="ru-RU" w:bidi="ru-RU"/>
          <w:w w:val="100"/>
          <w:spacing w:val="0"/>
          <w:color w:val="000000"/>
          <w:position w:val="0"/>
        </w:rPr>
        <w:t>документация наряду с информацией, указанной в извещении о проведении открытого конкурса в электронной форме, должна содержать предусмотренные статьей 54.4 Закона о контрактной системе требования к содержанию, в том числе к описанию предложения участника открытого конкурса в электронной форме, к составу заявки на участие в открытом конкурсе в электронной форме и инструкцию по ее заполнению, при этом не допускается установление требований, влекущих за собой ограничение количества участников закупки или ограничение доступа к участию в открытом конкурсе в электронной форме.</w:t>
      </w:r>
    </w:p>
    <w:p>
      <w:pPr>
        <w:pStyle w:val="Style5"/>
        <w:numPr>
          <w:ilvl w:val="0"/>
          <w:numId w:val="11"/>
        </w:numPr>
        <w:tabs>
          <w:tab w:leader="none" w:pos="1796" w:val="center"/>
          <w:tab w:leader="none" w:pos="3049" w:val="right"/>
          <w:tab w:leader="none" w:pos="3260" w:val="right"/>
          <w:tab w:leader="none" w:pos="3405" w:val="left"/>
          <w:tab w:leader="none" w:pos="1450" w:val="left"/>
        </w:tabs>
        <w:widowControl w:val="0"/>
        <w:keepNext w:val="0"/>
        <w:keepLines w:val="0"/>
        <w:shd w:val="clear" w:color="auto" w:fill="auto"/>
        <w:bidi w:val="0"/>
        <w:jc w:val="both"/>
        <w:spacing w:before="0" w:after="0" w:line="322" w:lineRule="exact"/>
        <w:ind w:left="20" w:right="0" w:firstLine="720"/>
      </w:pPr>
      <w:r>
        <w:rPr>
          <w:lang w:val="ru-RU" w:eastAsia="ru-RU" w:bidi="ru-RU"/>
          <w:w w:val="100"/>
          <w:spacing w:val="0"/>
          <w:color w:val="000000"/>
          <w:position w:val="0"/>
        </w:rPr>
        <w:t>ч.54.4</w:t>
        <w:tab/>
        <w:t>Закона</w:t>
        <w:tab/>
        <w:t>о</w:t>
        <w:tab/>
        <w:t>контрактной системе установлены требования к составу</w:t>
      </w:r>
    </w:p>
    <w:p>
      <w:pPr>
        <w:pStyle w:val="Style5"/>
        <w:widowControl w:val="0"/>
        <w:keepNext w:val="0"/>
        <w:keepLines w:val="0"/>
        <w:shd w:val="clear" w:color="auto" w:fill="auto"/>
        <w:bidi w:val="0"/>
        <w:jc w:val="both"/>
        <w:spacing w:before="0" w:after="0" w:line="322" w:lineRule="exact"/>
        <w:ind w:left="20" w:right="0" w:firstLine="0"/>
      </w:pPr>
      <w:r>
        <w:rPr>
          <w:lang w:val="ru-RU" w:eastAsia="ru-RU" w:bidi="ru-RU"/>
          <w:w w:val="100"/>
          <w:spacing w:val="0"/>
          <w:color w:val="000000"/>
          <w:position w:val="0"/>
        </w:rPr>
        <w:t>второй части заявки на участие в открытом конкурсе в электронной форме.</w:t>
      </w:r>
    </w:p>
    <w:p>
      <w:pPr>
        <w:pStyle w:val="Style5"/>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Согласно ч.7 ст.56.1 Закона о контрактной системе вторая часть заявки на участие в конкурсе с ограниченным участием в электронной форме наряду с информацией и электронными документами, предусмотренными ч.6 ч.54.4 Закона о контрактной системе, должна содержать документы, подтверждающие соответствие участников закупки предъявляемым к ним дополнительным требованиям в соответствии с ч.2 ст.31 Закона о контрактной системе закона.</w:t>
      </w:r>
    </w:p>
    <w:p>
      <w:pPr>
        <w:pStyle w:val="Style5"/>
        <w:tabs>
          <w:tab w:leader="none" w:pos="8166" w:val="left"/>
        </w:tabs>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Согласно п.18 Информационной карты конкурсной документации установлено требование к составу второй части заявки:</w:t>
        <w:tab/>
        <w:t>«3) документы,</w:t>
      </w:r>
    </w:p>
    <w:p>
      <w:pPr>
        <w:pStyle w:val="Style5"/>
        <w:widowControl w:val="0"/>
        <w:keepNext w:val="0"/>
        <w:keepLines w:val="0"/>
        <w:shd w:val="clear" w:color="auto" w:fill="auto"/>
        <w:bidi w:val="0"/>
        <w:jc w:val="both"/>
        <w:spacing w:before="0" w:after="0" w:line="322" w:lineRule="exact"/>
        <w:ind w:left="20" w:right="20" w:firstLine="0"/>
      </w:pPr>
      <w:r>
        <w:rPr>
          <w:lang w:val="ru-RU" w:eastAsia="ru-RU" w:bidi="ru-RU"/>
          <w:w w:val="100"/>
          <w:spacing w:val="0"/>
          <w:color w:val="000000"/>
          <w:position w:val="0"/>
        </w:rPr>
        <w:t>подтверждающие соответствие участника конкурса с ограниченным участием в электронной форме требованиям к участникам такого конкурса, установленным заказчиком в Конкурсной документации в соответствии с пунктом 1 части 1 статьи 31 Федерального закона № 44-ФЗ, в том числе:</w:t>
      </w:r>
    </w:p>
    <w:p>
      <w:pPr>
        <w:pStyle w:val="Style5"/>
        <w:numPr>
          <w:ilvl w:val="0"/>
          <w:numId w:val="7"/>
        </w:numPr>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 xml:space="preserve"> выписку из реестра лицензий на осуществление деятельности по сохранению объектов культурного наследия (памятников истории и культуры) народов Российской Федерации, выданной Министерством культуры Российской Федерации.</w:t>
      </w:r>
    </w:p>
    <w:p>
      <w:pPr>
        <w:pStyle w:val="Style5"/>
        <w:numPr>
          <w:ilvl w:val="0"/>
          <w:numId w:val="7"/>
        </w:numPr>
        <w:tabs>
          <w:tab w:leader="none" w:pos="5766" w:val="left"/>
          <w:tab w:leader="none" w:pos="6366" w:val="left"/>
        </w:tabs>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 xml:space="preserve"> копию выписки из реестра членов СРО по форме, которая утверждена Приказом Ростехнадзора от 04.03.2019</w:t>
        <w:tab/>
        <w:t>№</w:t>
        <w:tab/>
        <w:t>86. Данное требование не</w:t>
      </w:r>
    </w:p>
    <w:p>
      <w:pPr>
        <w:pStyle w:val="Style5"/>
        <w:widowControl w:val="0"/>
        <w:keepNext w:val="0"/>
        <w:keepLines w:val="0"/>
        <w:shd w:val="clear" w:color="auto" w:fill="auto"/>
        <w:bidi w:val="0"/>
        <w:jc w:val="both"/>
        <w:spacing w:before="0" w:after="0" w:line="322" w:lineRule="exact"/>
        <w:ind w:left="20" w:right="20" w:firstLine="0"/>
      </w:pPr>
      <w:r>
        <w:rPr>
          <w:lang w:val="ru-RU" w:eastAsia="ru-RU" w:bidi="ru-RU"/>
          <w:w w:val="100"/>
          <w:spacing w:val="0"/>
          <w:color w:val="000000"/>
          <w:position w:val="0"/>
        </w:rPr>
        <w:t>распространяется на участников в соответствии с пунктами 2.1. и 2.2. статьи 52 Градостроительного кодекса РФ;</w:t>
      </w:r>
    </w:p>
    <w:p>
      <w:pPr>
        <w:pStyle w:val="Style5"/>
        <w:numPr>
          <w:ilvl w:val="0"/>
          <w:numId w:val="5"/>
        </w:numPr>
        <w:tabs>
          <w:tab w:leader="none" w:pos="1215" w:val="left"/>
        </w:tabs>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документы, подтверждающие квалификацию участника конкурса с ограниченным участием в электронной форме. При этом отсутствие этих документов не является основанием для признания заявки на участие в конкурсе с ограниченным участием в электронной форме не соответствующей требованиям документации о таком конкурсе;</w:t>
      </w:r>
    </w:p>
    <w:p>
      <w:pPr>
        <w:pStyle w:val="Style5"/>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4.1.) Документы или копии документов, подтверждающие соответствие участника такого аукциона требованиям, установленным частью 2 статьи 31 Федерального закона № 44-ФЗ и постановлением Правительства Российской Федерации от 4 февраля 2015 г. № 99 - (указанные документы (их копии) направляются заказчику оператором электронной площадки с использованием программно-аппаратных средств такой площадки в соответствии с частью 19 статьи 68 Федерального закона № 44-ФЗ одновременно со вторыми частями заявок на участие в таком аукционе из числа документов (их копий), размещенных в соответствии с частью 13 статьи 24.2 Федерального закона № 44-ФЗ в реестре участников закупок, аккредитованных на электронной площадке):</w:t>
      </w:r>
    </w:p>
    <w:p>
      <w:pPr>
        <w:pStyle w:val="Style5"/>
        <w:numPr>
          <w:ilvl w:val="0"/>
          <w:numId w:val="7"/>
        </w:numPr>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 xml:space="preserve"> подтверждающих соответствие пункту 3 части 2 статьи 31 Федерального закона № 44-ФЗ:</w:t>
      </w:r>
    </w:p>
    <w:p>
      <w:pPr>
        <w:pStyle w:val="Style5"/>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копия исполненного контракта (договора) на проведение работ по сохранению объектов культурного наследия (памятников истории и культуры) народов Российской Федерации, при которых затрагиваются конструктивные и другие характеристики надежности и безопасности объекта культурного наследия, либо копия контракта (договора), сведения о котором содержатся в реестре контрактов, заключенных заказчиками в соответствии с Федеральным законом "О контрактной системе в сфере закупок товаров, работ, услуг для обеспечения государственных и муниципальных нужд", или в реестре договоров, заключенных заказчиками по результатам закупки в соответствии с Федеральным законом "О закупках товаров, работ, услуг отдельными видами юридических лиц", на проведение работ по сохранению объектов культурного наследия (памятников истории и культуры) народов Российской Федерации, при которых не затрагиваются конструктивные и другие характеристики надежности и безопасности объекта культурного наследия;</w:t>
      </w:r>
    </w:p>
    <w:p>
      <w:pPr>
        <w:pStyle w:val="Style5"/>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копия акта (актов) выполненных работ, содержащего (содержащих) все обязательные реквизиты, установленные частью 2 статьи 9 Федерального закона "О бухгалтерском учете", и подтверждающего (подтверждающих) стоимость исполненного контракта (договора) (за исключением случая, если застройщик является лицом, осуществляющим строительство).</w:t>
      </w:r>
    </w:p>
    <w:p>
      <w:pPr>
        <w:pStyle w:val="Style5"/>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Указанный документ (документы) должен быть подписан (подписаны) не ранее чем за 3 года до даты окончания срока подачи заявок на участие в закупке;</w:t>
      </w:r>
    </w:p>
    <w:p>
      <w:pPr>
        <w:pStyle w:val="Style5"/>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копия разрешения на ввод объекта капитального строительства в эксплуатацию (за исключением случаев, при которых разрешение на ввод объекта капитального строительства в эксплуатацию не выдается в соответствии с законодательством о градостроительной деятельности).</w:t>
      </w:r>
    </w:p>
    <w:p>
      <w:pPr>
        <w:pStyle w:val="Style5"/>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Указанный документ должен быть подписан не ранее чем за 3 года до даты окончания срока подачи заявок на участие в закупке».</w:t>
      </w:r>
    </w:p>
    <w:p>
      <w:pPr>
        <w:pStyle w:val="Style5"/>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На заседании Комиссии Управления представители Заказчика пояснили, что в составе заявки ООО «ТИВОЛИОН» в качестве подтверждения соответствия дополнительным требованиям в соответствии с постановлением № 99 представлен договор субподряда №4-ОКН от 29.06.2020г. на проведение работ по сохранению объектов культурного наследия (памятников истории и культуры) народов России, при которых затрагиваются конструктивные и другие характеристики надежности и безопасности объектов: «Жилой дом», XIX в.; «Дом Жилой», кон. ХУШв., 1870</w:t>
        <w:softHyphen/>
        <w:t>1880-е годы, заключенный между ООО «ТИВОЛИОН» и ООО «ЭкосервисТ» (Генподрядчик), имеющего лицензию на осуществление деятельности по сохранению объектов культурного наследия (памятников истории и культуры) народов России № МКРФ 05037 от 28.05.2018. Цена договора составила 108546174руб. 64коп., что, свидетельствует о том, что у конкурсной комиссии Заказчика отсутствовали правовые основания для признания заявки ООО «ТИВОЛИОН» несоответствующей требованиям конкурсной документации.</w:t>
      </w:r>
    </w:p>
    <w:p>
      <w:pPr>
        <w:pStyle w:val="Style5"/>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Комиссия управления отмечает, что под недостоверными сведениями следует понимать сведения, не соответствующие действительности. В свою очередь, исходя из правовой позиции Верховного Суда Российской Федерации, изложенной в постановлении от 24.02.2005 № 3 «О судебной практике по делам о защите чести и достоинства граждан, а также деловой репутации граждан и юридических лиц», под не соответствующими действительности сведениями понимаются утверждения о фактах или событиях, которые не имели места в реальности во время, к которому относятся оспариваемые сведения (п. 7).</w:t>
      </w:r>
    </w:p>
    <w:p>
      <w:pPr>
        <w:pStyle w:val="Style5"/>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Кроме того, предоставленное заказчику право отклонить поданную заявку в случае обнаружения в ней недостоверных сведений на любом этапе проведения конкурса свидетельствует о том, что располагать такой информацией заказчик должен непосредственно на момент принятия соответствующего решения (отказ в допуске либо отказ от заключения договора), причем располагать именно доказательствами такой недостоверности, но не руководствоваться предположениями.</w:t>
      </w:r>
    </w:p>
    <w:p>
      <w:pPr>
        <w:pStyle w:val="Style5"/>
        <w:widowControl w:val="0"/>
        <w:keepNext w:val="0"/>
        <w:keepLines w:val="0"/>
        <w:shd w:val="clear" w:color="auto" w:fill="auto"/>
        <w:bidi w:val="0"/>
        <w:jc w:val="both"/>
        <w:spacing w:before="0" w:after="0" w:line="322" w:lineRule="exact"/>
        <w:ind w:left="0" w:right="20" w:firstLine="720"/>
      </w:pPr>
      <w:r>
        <w:rPr>
          <w:lang w:val="ru-RU" w:eastAsia="ru-RU" w:bidi="ru-RU"/>
          <w:w w:val="100"/>
          <w:spacing w:val="0"/>
          <w:color w:val="000000"/>
          <w:position w:val="0"/>
        </w:rPr>
        <w:t>Как следует из материалов дела, поданная заявка ООО «ТИВОЛИОН» требованиям конкурсной документации соответствовала. Каких-либо оснований сомневаться в достоверности представленных в них сведений в контексте ч. 5 ст. 10 Гражданского кодекса Российской Федерации (ГК РФ) (в силу которой добросовестность участников гражданских правоотношений и разумность их действий предполагаются) у Заказчика не имелось, неопровержимыми доказательствами недостоверности таких сведений последний не располагал.</w:t>
      </w:r>
    </w:p>
    <w:p>
      <w:pPr>
        <w:pStyle w:val="Style5"/>
        <w:widowControl w:val="0"/>
        <w:keepNext w:val="0"/>
        <w:keepLines w:val="0"/>
        <w:shd w:val="clear" w:color="auto" w:fill="auto"/>
        <w:bidi w:val="0"/>
        <w:jc w:val="both"/>
        <w:spacing w:before="0" w:after="0" w:line="322" w:lineRule="exact"/>
        <w:ind w:left="0" w:right="0" w:firstLine="720"/>
      </w:pPr>
      <w:r>
        <w:rPr>
          <w:lang w:val="ru-RU" w:eastAsia="ru-RU" w:bidi="ru-RU"/>
          <w:w w:val="100"/>
          <w:spacing w:val="0"/>
          <w:color w:val="000000"/>
          <w:position w:val="0"/>
        </w:rPr>
        <w:t>Доказательств обратного Заявителем не представлено.</w:t>
      </w:r>
    </w:p>
    <w:p>
      <w:pPr>
        <w:pStyle w:val="Style5"/>
        <w:widowControl w:val="0"/>
        <w:keepNext w:val="0"/>
        <w:keepLines w:val="0"/>
        <w:shd w:val="clear" w:color="auto" w:fill="auto"/>
        <w:bidi w:val="0"/>
        <w:jc w:val="both"/>
        <w:spacing w:before="0" w:after="0" w:line="322" w:lineRule="exact"/>
        <w:ind w:left="0" w:right="20" w:firstLine="720"/>
      </w:pPr>
      <w:r>
        <w:rPr>
          <w:lang w:val="ru-RU" w:eastAsia="ru-RU" w:bidi="ru-RU"/>
          <w:w w:val="100"/>
          <w:spacing w:val="0"/>
          <w:color w:val="000000"/>
          <w:position w:val="0"/>
        </w:rPr>
        <w:t>Таким образом, Комиссия Управления приходит к выводу, что действия конкурсной комиссии Заказчика при признании заявки ООО «ТИВОЛИОН» соответствующей требованиям конкурсной документации являются правомерным.</w:t>
      </w:r>
    </w:p>
    <w:p>
      <w:pPr>
        <w:pStyle w:val="Style5"/>
        <w:widowControl w:val="0"/>
        <w:keepNext w:val="0"/>
        <w:keepLines w:val="0"/>
        <w:shd w:val="clear" w:color="auto" w:fill="auto"/>
        <w:bidi w:val="0"/>
        <w:jc w:val="both"/>
        <w:spacing w:before="0" w:after="349" w:line="322" w:lineRule="exact"/>
        <w:ind w:left="0" w:right="20" w:firstLine="720"/>
      </w:pPr>
      <w:r>
        <w:rPr>
          <w:lang w:val="ru-RU" w:eastAsia="ru-RU" w:bidi="ru-RU"/>
          <w:w w:val="100"/>
          <w:spacing w:val="0"/>
          <w:color w:val="000000"/>
          <w:position w:val="0"/>
        </w:rPr>
        <w:t>Исследовав представленные материалы, руководствуясь Административным регламентом, Законом о контрактной системе, Комиссия Управления</w:t>
      </w:r>
    </w:p>
    <w:p>
      <w:pPr>
        <w:pStyle w:val="Style10"/>
        <w:widowControl w:val="0"/>
        <w:keepNext/>
        <w:keepLines/>
        <w:shd w:val="clear" w:color="auto" w:fill="auto"/>
        <w:bidi w:val="0"/>
        <w:jc w:val="left"/>
        <w:spacing w:before="0" w:after="0" w:line="260" w:lineRule="exact"/>
        <w:ind w:left="4600" w:right="0" w:firstLine="0"/>
      </w:pPr>
      <w:bookmarkStart w:id="1" w:name="bookmark1"/>
      <w:r>
        <w:rPr>
          <w:lang w:val="ru-RU" w:eastAsia="ru-RU" w:bidi="ru-RU"/>
          <w:w w:val="100"/>
          <w:spacing w:val="0"/>
          <w:color w:val="000000"/>
          <w:position w:val="0"/>
        </w:rPr>
        <w:t>Р Е Ш И Л А:</w:t>
      </w:r>
      <w:bookmarkEnd w:id="1"/>
    </w:p>
    <w:p>
      <w:pPr>
        <w:pStyle w:val="Style5"/>
        <w:numPr>
          <w:ilvl w:val="0"/>
          <w:numId w:val="13"/>
        </w:numPr>
        <w:widowControl w:val="0"/>
        <w:keepNext w:val="0"/>
        <w:keepLines w:val="0"/>
        <w:shd w:val="clear" w:color="auto" w:fill="auto"/>
        <w:bidi w:val="0"/>
        <w:jc w:val="both"/>
        <w:spacing w:before="0" w:after="0" w:line="326" w:lineRule="exact"/>
        <w:ind w:left="0" w:right="20" w:firstLine="720"/>
      </w:pPr>
      <w:r>
        <w:rPr>
          <w:lang w:val="ru-RU" w:eastAsia="ru-RU" w:bidi="ru-RU"/>
          <w:w w:val="100"/>
          <w:spacing w:val="0"/>
          <w:color w:val="000000"/>
          <w:position w:val="0"/>
        </w:rPr>
        <w:t xml:space="preserve"> Признать жалобу ООО «ЗОДЧИЙ» на действия конкурсной комиссии ФКУ «ЦОКР» необоснованной.</w:t>
      </w:r>
    </w:p>
    <w:p>
      <w:pPr>
        <w:pStyle w:val="Style5"/>
        <w:numPr>
          <w:ilvl w:val="0"/>
          <w:numId w:val="13"/>
        </w:numPr>
        <w:widowControl w:val="0"/>
        <w:keepNext w:val="0"/>
        <w:keepLines w:val="0"/>
        <w:shd w:val="clear" w:color="auto" w:fill="auto"/>
        <w:bidi w:val="0"/>
        <w:jc w:val="both"/>
        <w:spacing w:before="0" w:after="300" w:line="322" w:lineRule="exact"/>
        <w:ind w:left="0" w:right="20" w:firstLine="720"/>
      </w:pPr>
      <w:r>
        <w:rPr>
          <w:lang w:val="ru-RU" w:eastAsia="ru-RU" w:bidi="ru-RU"/>
          <w:w w:val="100"/>
          <w:spacing w:val="0"/>
          <w:color w:val="000000"/>
          <w:position w:val="0"/>
        </w:rPr>
        <w:t xml:space="preserve"> Снять ограничения на осуществление закупки, наложенные письмом Московского УФАС России исх.№ ЕИ/67386/21 от 03.11.2021.</w:t>
      </w:r>
    </w:p>
    <w:p>
      <w:pPr>
        <w:pStyle w:val="Style5"/>
        <w:widowControl w:val="0"/>
        <w:keepNext w:val="0"/>
        <w:keepLines w:val="0"/>
        <w:shd w:val="clear" w:color="auto" w:fill="auto"/>
        <w:bidi w:val="0"/>
        <w:jc w:val="both"/>
        <w:spacing w:before="0" w:after="47" w:line="322" w:lineRule="exact"/>
        <w:ind w:left="0" w:right="20" w:firstLine="720"/>
      </w:pPr>
      <w:r>
        <w:rPr>
          <w:lang w:val="ru-RU" w:eastAsia="ru-RU" w:bidi="ru-RU"/>
          <w:w w:val="100"/>
          <w:spacing w:val="0"/>
          <w:color w:val="000000"/>
          <w:position w:val="0"/>
        </w:rPr>
        <w:t>Решение может быть обжаловано в судебном порядке в Арбитражном суде г. Москвы в течение 3 (трех) месяцев с даты его принятия в порядке, установленном гл. 24 АПК РФ.</w:t>
      </w:r>
    </w:p>
    <w:p>
      <w:pPr>
        <w:pStyle w:val="Style5"/>
        <w:tabs>
          <w:tab w:leader="none" w:pos="9106" w:val="right"/>
          <w:tab w:leader="none" w:pos="10169" w:val="right"/>
        </w:tabs>
        <w:widowControl w:val="0"/>
        <w:keepNext w:val="0"/>
        <w:keepLines w:val="0"/>
        <w:shd w:val="clear" w:color="auto" w:fill="auto"/>
        <w:bidi w:val="0"/>
        <w:jc w:val="both"/>
        <w:spacing w:before="0" w:after="0" w:line="638" w:lineRule="exact"/>
        <w:ind w:left="0" w:right="0" w:firstLine="0"/>
      </w:pPr>
      <w:r>
        <w:rPr>
          <w:lang w:val="ru-RU" w:eastAsia="ru-RU" w:bidi="ru-RU"/>
          <w:w w:val="100"/>
          <w:spacing w:val="0"/>
          <w:color w:val="000000"/>
          <w:position w:val="0"/>
        </w:rPr>
        <w:t>Заместитель председателя Комиссии</w:t>
        <w:tab/>
        <w:t>С.И.</w:t>
        <w:tab/>
        <w:t>Казарин</w:t>
      </w:r>
    </w:p>
    <w:p>
      <w:pPr>
        <w:pStyle w:val="Style5"/>
        <w:tabs>
          <w:tab w:leader="none" w:pos="8904" w:val="right"/>
          <w:tab w:leader="none" w:pos="10169" w:val="right"/>
        </w:tabs>
        <w:widowControl w:val="0"/>
        <w:keepNext w:val="0"/>
        <w:keepLines w:val="0"/>
        <w:shd w:val="clear" w:color="auto" w:fill="auto"/>
        <w:bidi w:val="0"/>
        <w:jc w:val="both"/>
        <w:spacing w:before="0" w:after="0" w:line="638" w:lineRule="exact"/>
        <w:ind w:left="0" w:right="0" w:firstLine="0"/>
      </w:pPr>
      <w:r>
        <w:rPr>
          <w:lang w:val="ru-RU" w:eastAsia="ru-RU" w:bidi="ru-RU"/>
          <w:w w:val="100"/>
          <w:spacing w:val="0"/>
          <w:color w:val="000000"/>
          <w:position w:val="0"/>
        </w:rPr>
        <w:t>Члены Комиссии</w:t>
        <w:tab/>
        <w:t>А.З.</w:t>
        <w:tab/>
        <w:t>Касимова</w:t>
      </w:r>
    </w:p>
    <w:p>
      <w:pPr>
        <w:pStyle w:val="Style5"/>
        <w:widowControl w:val="0"/>
        <w:keepNext w:val="0"/>
        <w:keepLines w:val="0"/>
        <w:shd w:val="clear" w:color="auto" w:fill="auto"/>
        <w:bidi w:val="0"/>
        <w:jc w:val="right"/>
        <w:spacing w:before="0" w:after="1207" w:line="638" w:lineRule="exact"/>
        <w:ind w:left="0" w:right="20" w:firstLine="0"/>
      </w:pPr>
      <w:r>
        <w:rPr>
          <w:lang w:val="ru-RU" w:eastAsia="ru-RU" w:bidi="ru-RU"/>
          <w:w w:val="100"/>
          <w:spacing w:val="0"/>
          <w:color w:val="000000"/>
          <w:position w:val="0"/>
        </w:rPr>
        <w:t>А.А. Кутейников</w:t>
      </w:r>
    </w:p>
    <w:p>
      <w:pPr>
        <w:pStyle w:val="Style12"/>
        <w:widowControl w:val="0"/>
        <w:keepNext w:val="0"/>
        <w:keepLines w:val="0"/>
        <w:shd w:val="clear" w:color="auto" w:fill="auto"/>
        <w:bidi w:val="0"/>
        <w:jc w:val="left"/>
        <w:spacing w:before="0" w:after="0"/>
        <w:ind w:left="0" w:right="8200" w:firstLine="0"/>
      </w:pPr>
      <w:r>
        <w:rPr>
          <w:lang w:val="ru-RU" w:eastAsia="ru-RU" w:bidi="ru-RU"/>
          <w:w w:val="100"/>
          <w:spacing w:val="0"/>
          <w:color w:val="000000"/>
          <w:position w:val="0"/>
        </w:rPr>
        <w:t>Исп.Кутейников А.А. тел.8(495)784-75-05</w:t>
      </w:r>
    </w:p>
    <w:sectPr>
      <w:footnotePr>
        <w:pos w:val="pageBottom"/>
        <w:numFmt w:val="decimal"/>
        <w:numRestart w:val="continuous"/>
      </w:footnotePr>
      <w:type w:val="continuous"/>
      <w:pgSz w:w="11906" w:h="16838"/>
      <w:pgMar w:top="1060" w:left="846" w:right="822" w:bottom="1030"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6">
    <w:multiLevelType w:val="multilevel"/>
    <w:lvl w:ilvl="0">
      <w:start w:val="1"/>
      <w:numFmt w:val="bullet"/>
      <w:lvlText w:val="-"/>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8">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0">
    <w:multiLevelType w:val="multilevel"/>
    <w:lvl w:ilvl="0">
      <w:start w:val="5"/>
      <w:numFmt w:val="decimal"/>
      <w:lvlText w:val="Ч.%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2">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Штрих-код (2)_"/>
    <w:basedOn w:val="DefaultParagraphFont"/>
    <w:link w:val="Style3"/>
    <w:rPr>
      <w:lang w:val="1024"/>
      <w:b w:val="0"/>
      <w:bCs w:val="0"/>
      <w:i w:val="0"/>
      <w:iCs w:val="0"/>
      <w:u w:val="none"/>
      <w:strike w:val="0"/>
      <w:smallCaps w:val="0"/>
      <w:sz w:val="20"/>
      <w:szCs w:val="20"/>
      <w:rFonts w:ascii="Times New Roman" w:eastAsia="Times New Roman" w:hAnsi="Times New Roman" w:cs="Times New Roman"/>
    </w:rPr>
  </w:style>
  <w:style w:type="character" w:customStyle="1" w:styleId="CharStyle6">
    <w:name w:val="Основной текст_"/>
    <w:basedOn w:val="DefaultParagraphFont"/>
    <w:link w:val="Style5"/>
    <w:rPr>
      <w:b w:val="0"/>
      <w:bCs w:val="0"/>
      <w:i w:val="0"/>
      <w:iCs w:val="0"/>
      <w:u w:val="none"/>
      <w:strike w:val="0"/>
      <w:smallCaps w:val="0"/>
      <w:sz w:val="26"/>
      <w:szCs w:val="26"/>
      <w:rFonts w:ascii="Times New Roman" w:eastAsia="Times New Roman" w:hAnsi="Times New Roman" w:cs="Times New Roman"/>
    </w:rPr>
  </w:style>
  <w:style w:type="character" w:customStyle="1" w:styleId="CharStyle8">
    <w:name w:val="Основной текст (2)_"/>
    <w:basedOn w:val="DefaultParagraphFont"/>
    <w:link w:val="Style7"/>
    <w:rPr>
      <w:b/>
      <w:bCs/>
      <w:i w:val="0"/>
      <w:iCs w:val="0"/>
      <w:u w:val="none"/>
      <w:strike w:val="0"/>
      <w:smallCaps w:val="0"/>
      <w:sz w:val="26"/>
      <w:szCs w:val="26"/>
      <w:rFonts w:ascii="Times New Roman" w:eastAsia="Times New Roman" w:hAnsi="Times New Roman" w:cs="Times New Roman"/>
    </w:rPr>
  </w:style>
  <w:style w:type="character" w:customStyle="1" w:styleId="CharStyle9">
    <w:name w:val="Основной текст"/>
    <w:basedOn w:val="CharStyle6"/>
    <w:rPr>
      <w:lang w:val="ru-RU" w:eastAsia="ru-RU" w:bidi="ru-RU"/>
      <w:u w:val="single"/>
      <w:w w:val="100"/>
      <w:spacing w:val="0"/>
      <w:color w:val="000000"/>
      <w:position w:val="0"/>
    </w:rPr>
  </w:style>
  <w:style w:type="character" w:customStyle="1" w:styleId="CharStyle11">
    <w:name w:val="Заголовок №1_"/>
    <w:basedOn w:val="DefaultParagraphFont"/>
    <w:link w:val="Style10"/>
    <w:rPr>
      <w:b/>
      <w:bCs/>
      <w:i w:val="0"/>
      <w:iCs w:val="0"/>
      <w:u w:val="none"/>
      <w:strike w:val="0"/>
      <w:smallCaps w:val="0"/>
      <w:sz w:val="26"/>
      <w:szCs w:val="26"/>
      <w:rFonts w:ascii="Times New Roman" w:eastAsia="Times New Roman" w:hAnsi="Times New Roman" w:cs="Times New Roman"/>
    </w:rPr>
  </w:style>
  <w:style w:type="character" w:customStyle="1" w:styleId="CharStyle13">
    <w:name w:val="Основной текст (3)_"/>
    <w:basedOn w:val="DefaultParagraphFont"/>
    <w:link w:val="Style12"/>
    <w:rPr>
      <w:b/>
      <w:bCs/>
      <w:i w:val="0"/>
      <w:iCs w:val="0"/>
      <w:u w:val="none"/>
      <w:strike w:val="0"/>
      <w:smallCaps w:val="0"/>
      <w:sz w:val="20"/>
      <w:szCs w:val="20"/>
      <w:rFonts w:ascii="Times New Roman" w:eastAsia="Times New Roman" w:hAnsi="Times New Roman" w:cs="Times New Roman"/>
    </w:rPr>
  </w:style>
  <w:style w:type="paragraph" w:customStyle="1" w:styleId="Style3">
    <w:name w:val="Штрих-код (2)"/>
    <w:basedOn w:val="Normal"/>
    <w:link w:val="CharStyle4"/>
    <w:pPr>
      <w:widowControl w:val="0"/>
      <w:shd w:val="clear" w:color="auto" w:fill="FFFFFF"/>
    </w:pPr>
    <w:rPr>
      <w:lang w:val="1024"/>
      <w:b w:val="0"/>
      <w:bCs w:val="0"/>
      <w:i w:val="0"/>
      <w:iCs w:val="0"/>
      <w:u w:val="none"/>
      <w:strike w:val="0"/>
      <w:smallCaps w:val="0"/>
      <w:sz w:val="20"/>
      <w:szCs w:val="20"/>
      <w:rFonts w:ascii="Times New Roman" w:eastAsia="Times New Roman" w:hAnsi="Times New Roman" w:cs="Times New Roman"/>
    </w:rPr>
  </w:style>
  <w:style w:type="paragraph" w:customStyle="1" w:styleId="Style5">
    <w:name w:val="Основной текст"/>
    <w:basedOn w:val="Normal"/>
    <w:link w:val="CharStyle6"/>
    <w:pPr>
      <w:widowControl w:val="0"/>
      <w:shd w:val="clear" w:color="auto" w:fill="FFFFFF"/>
      <w:spacing w:line="317"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7">
    <w:name w:val="Основной текст (2)"/>
    <w:basedOn w:val="Normal"/>
    <w:link w:val="CharStyle8"/>
    <w:pPr>
      <w:widowControl w:val="0"/>
      <w:shd w:val="clear" w:color="auto" w:fill="FFFFFF"/>
      <w:spacing w:before="2040" w:line="317" w:lineRule="exact"/>
      <w:ind w:firstLine="4360"/>
    </w:pPr>
    <w:rPr>
      <w:b/>
      <w:bCs/>
      <w:i w:val="0"/>
      <w:iCs w:val="0"/>
      <w:u w:val="none"/>
      <w:strike w:val="0"/>
      <w:smallCaps w:val="0"/>
      <w:sz w:val="26"/>
      <w:szCs w:val="26"/>
      <w:rFonts w:ascii="Times New Roman" w:eastAsia="Times New Roman" w:hAnsi="Times New Roman" w:cs="Times New Roman"/>
    </w:rPr>
  </w:style>
  <w:style w:type="paragraph" w:customStyle="1" w:styleId="Style10">
    <w:name w:val="Заголовок №1"/>
    <w:basedOn w:val="Normal"/>
    <w:link w:val="CharStyle11"/>
    <w:pPr>
      <w:widowControl w:val="0"/>
      <w:shd w:val="clear" w:color="auto" w:fill="FFFFFF"/>
      <w:jc w:val="center"/>
      <w:outlineLvl w:val="0"/>
      <w:spacing w:before="300" w:after="420" w:line="0" w:lineRule="exact"/>
    </w:pPr>
    <w:rPr>
      <w:b/>
      <w:bCs/>
      <w:i w:val="0"/>
      <w:iCs w:val="0"/>
      <w:u w:val="none"/>
      <w:strike w:val="0"/>
      <w:smallCaps w:val="0"/>
      <w:sz w:val="26"/>
      <w:szCs w:val="26"/>
      <w:rFonts w:ascii="Times New Roman" w:eastAsia="Times New Roman" w:hAnsi="Times New Roman" w:cs="Times New Roman"/>
    </w:rPr>
  </w:style>
  <w:style w:type="paragraph" w:customStyle="1" w:styleId="Style12">
    <w:name w:val="Основной текст (3)"/>
    <w:basedOn w:val="Normal"/>
    <w:link w:val="CharStyle13"/>
    <w:pPr>
      <w:widowControl w:val="0"/>
      <w:shd w:val="clear" w:color="auto" w:fill="FFFFFF"/>
      <w:spacing w:before="900" w:line="254" w:lineRule="exact"/>
    </w:pPr>
    <w:rPr>
      <w:b/>
      <w:bCs/>
      <w:i w:val="0"/>
      <w:iCs w:val="0"/>
      <w:u w:val="none"/>
      <w:strike w:val="0"/>
      <w:smallCaps w:val="0"/>
      <w:sz w:val="20"/>
      <w:szCs w:val="20"/>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