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0"/>
        <w:ind w:left="5340" w:right="40" w:firstLine="0"/>
      </w:pPr>
      <w:r>
        <w:rPr>
          <w:lang w:val="ru-RU" w:eastAsia="ru-RU" w:bidi="ru-RU"/>
          <w:sz w:val="24"/>
          <w:szCs w:val="24"/>
          <w:w w:val="100"/>
          <w:spacing w:val="0"/>
          <w:color w:val="000000"/>
          <w:position w:val="0"/>
        </w:rPr>
        <w:t>ФГБУ «НМИЦ ОНКОЛОГИИ ИМ. Н.Н. БЛОХИНА» МИНЗДРАВА РОССИИ</w:t>
      </w:r>
    </w:p>
    <w:p>
      <w:pPr>
        <w:pStyle w:val="Style5"/>
        <w:widowControl w:val="0"/>
        <w:keepNext w:val="0"/>
        <w:keepLines w:val="0"/>
        <w:shd w:val="clear" w:color="auto" w:fill="auto"/>
        <w:bidi w:val="0"/>
        <w:jc w:val="left"/>
        <w:spacing w:before="0" w:after="349"/>
        <w:ind w:left="5340" w:right="40" w:firstLine="0"/>
      </w:pPr>
      <w:r>
        <w:rPr>
          <w:lang w:val="ru-RU" w:eastAsia="ru-RU" w:bidi="ru-RU"/>
          <w:sz w:val="24"/>
          <w:szCs w:val="24"/>
          <w:w w:val="100"/>
          <w:spacing w:val="0"/>
          <w:color w:val="000000"/>
          <w:position w:val="0"/>
        </w:rPr>
        <w:t xml:space="preserve">101000, ГОРОД МОСКВА, ШОССЕ КАШИРСКОЕ, ДОМ 24 </w:t>
      </w:r>
      <w:r>
        <w:fldChar w:fldCharType="begin"/>
      </w:r>
      <w:r>
        <w:rPr>
          <w:color w:val="000000"/>
        </w:rPr>
        <w:instrText> HYPERLINK "mailto:info@ronc.ru" </w:instrText>
      </w:r>
      <w:r>
        <w:fldChar w:fldCharType="separate"/>
      </w:r>
      <w:r>
        <w:rPr>
          <w:rStyle w:val="Hyperlink"/>
          <w:lang w:val="en-US" w:eastAsia="en-US" w:bidi="en-US"/>
          <w:sz w:val="24"/>
          <w:szCs w:val="24"/>
          <w:w w:val="100"/>
          <w:spacing w:val="0"/>
          <w:position w:val="0"/>
        </w:rPr>
        <w:t>info@ronc.ru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"mailto:marchenkov@ronc.ru" </w:instrText>
      </w:r>
      <w:r>
        <w:fldChar w:fldCharType="separate"/>
      </w:r>
      <w:r>
        <w:rPr>
          <w:rStyle w:val="Hyperlink"/>
          <w:lang w:val="en-US" w:eastAsia="en-US" w:bidi="en-US"/>
          <w:sz w:val="24"/>
          <w:szCs w:val="24"/>
          <w:w w:val="100"/>
          <w:spacing w:val="0"/>
          <w:position w:val="0"/>
        </w:rPr>
        <w:t>marchenkov@ronc.ru</w:t>
      </w:r>
      <w:r>
        <w:fldChar w:fldCharType="end"/>
      </w:r>
    </w:p>
    <w:p>
      <w:pPr>
        <w:pStyle w:val="Style5"/>
        <w:widowControl w:val="0"/>
        <w:keepNext w:val="0"/>
        <w:keepLines w:val="0"/>
        <w:shd w:val="clear" w:color="auto" w:fill="auto"/>
        <w:bidi w:val="0"/>
        <w:jc w:val="left"/>
        <w:spacing w:before="0" w:after="303" w:line="260" w:lineRule="exact"/>
        <w:ind w:left="5340" w:right="0" w:firstLine="0"/>
      </w:pPr>
      <w:r>
        <w:rPr>
          <w:lang w:val="ru-RU" w:eastAsia="ru-RU" w:bidi="ru-RU"/>
          <w:sz w:val="24"/>
          <w:szCs w:val="24"/>
          <w:w w:val="100"/>
          <w:spacing w:val="0"/>
          <w:color w:val="000000"/>
          <w:position w:val="0"/>
        </w:rPr>
        <w:t>ООО «АСТ Сервис»</w:t>
      </w:r>
    </w:p>
    <w:p>
      <w:pPr>
        <w:pStyle w:val="Style5"/>
        <w:widowControl w:val="0"/>
        <w:keepNext w:val="0"/>
        <w:keepLines w:val="0"/>
        <w:shd w:val="clear" w:color="auto" w:fill="auto"/>
        <w:bidi w:val="0"/>
        <w:jc w:val="left"/>
        <w:spacing w:before="0" w:after="0"/>
        <w:ind w:left="5340" w:right="40" w:firstLine="0"/>
      </w:pPr>
      <w:r>
        <w:rPr>
          <w:lang w:val="ru-RU" w:eastAsia="ru-RU" w:bidi="ru-RU"/>
          <w:sz w:val="24"/>
          <w:szCs w:val="24"/>
          <w:w w:val="100"/>
          <w:spacing w:val="0"/>
          <w:color w:val="000000"/>
          <w:position w:val="0"/>
        </w:rPr>
        <w:t>ул. Якорная, д. 8, корп. 1, г. Москва, 115407</w:t>
      </w:r>
    </w:p>
    <w:p>
      <w:pPr>
        <w:pStyle w:val="Style5"/>
        <w:widowControl w:val="0"/>
        <w:keepNext w:val="0"/>
        <w:keepLines w:val="0"/>
        <w:shd w:val="clear" w:color="auto" w:fill="auto"/>
        <w:bidi w:val="0"/>
        <w:jc w:val="left"/>
        <w:spacing w:before="0" w:after="1080"/>
        <w:ind w:left="5340" w:right="0" w:firstLine="0"/>
      </w:pPr>
      <w:r>
        <w:rPr>
          <w:lang w:val="en-US" w:eastAsia="en-US" w:bidi="en-US"/>
          <w:sz w:val="24"/>
          <w:szCs w:val="24"/>
          <w:w w:val="100"/>
          <w:spacing w:val="0"/>
          <w:color w:val="000000"/>
          <w:position w:val="0"/>
        </w:rPr>
        <w:t>ast_servis2013@mail .ru</w:t>
      </w:r>
    </w:p>
    <w:p>
      <w:pPr>
        <w:pStyle w:val="Style8"/>
        <w:tabs>
          <w:tab w:leader="none" w:pos="8944" w:val="left"/>
        </w:tabs>
        <w:widowControl w:val="0"/>
        <w:keepNext w:val="0"/>
        <w:keepLines w:val="0"/>
        <w:shd w:val="clear" w:color="auto" w:fill="auto"/>
        <w:bidi w:val="0"/>
        <w:jc w:val="left"/>
        <w:spacing w:before="0" w:after="0"/>
        <w:ind w:left="40" w:right="40"/>
      </w:pPr>
      <w:r>
        <w:rPr>
          <w:lang w:val="ru-RU" w:eastAsia="ru-RU" w:bidi="ru-RU"/>
          <w:w w:val="100"/>
          <w:spacing w:val="0"/>
          <w:color w:val="000000"/>
          <w:position w:val="0"/>
        </w:rPr>
        <w:t>РЕШЕНИЕ по делу № 077/06/106-19819/2021 о нарушении законодательства о контрактной системе 11.11.2021</w:t>
        <w:tab/>
        <w:t>г. Москва</w:t>
      </w:r>
    </w:p>
    <w:p>
      <w:pPr>
        <w:pStyle w:val="Style5"/>
        <w:widowControl w:val="0"/>
        <w:keepNext w:val="0"/>
        <w:keepLines w:val="0"/>
        <w:shd w:val="clear" w:color="auto" w:fill="auto"/>
        <w:bidi w:val="0"/>
        <w:jc w:val="both"/>
        <w:spacing w:before="0" w:after="0"/>
        <w:ind w:left="40" w:right="40" w:firstLine="880"/>
      </w:pPr>
      <w:r>
        <w:rPr>
          <w:lang w:val="ru-RU" w:eastAsia="ru-RU" w:bidi="ru-RU"/>
          <w:sz w:val="24"/>
          <w:szCs w:val="24"/>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left"/>
        <w:spacing w:before="0" w:after="0"/>
        <w:ind w:left="40" w:right="40" w:firstLine="740"/>
      </w:pPr>
      <w:r>
        <w:rPr>
          <w:lang w:val="ru-RU" w:eastAsia="ru-RU" w:bidi="ru-RU"/>
          <w:sz w:val="24"/>
          <w:szCs w:val="24"/>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left"/>
        <w:spacing w:before="0" w:after="0"/>
        <w:ind w:left="40" w:right="0" w:firstLine="740"/>
      </w:pPr>
      <w:r>
        <w:rPr>
          <w:lang w:val="ru-RU" w:eastAsia="ru-RU" w:bidi="ru-RU"/>
          <w:sz w:val="24"/>
          <w:szCs w:val="24"/>
          <w:w w:val="100"/>
          <w:spacing w:val="0"/>
          <w:color w:val="000000"/>
          <w:position w:val="0"/>
        </w:rPr>
        <w:t>Членов Комиссии:</w:t>
      </w:r>
    </w:p>
    <w:p>
      <w:pPr>
        <w:pStyle w:val="Style5"/>
        <w:widowControl w:val="0"/>
        <w:keepNext w:val="0"/>
        <w:keepLines w:val="0"/>
        <w:shd w:val="clear" w:color="auto" w:fill="auto"/>
        <w:bidi w:val="0"/>
        <w:jc w:val="left"/>
        <w:spacing w:before="0" w:after="0"/>
        <w:ind w:left="40" w:right="40" w:firstLine="740"/>
      </w:pPr>
      <w:r>
        <w:rPr>
          <w:lang w:val="ru-RU" w:eastAsia="ru-RU" w:bidi="ru-RU"/>
          <w:sz w:val="24"/>
          <w:szCs w:val="24"/>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ind w:left="40" w:right="40" w:firstLine="880"/>
      </w:pPr>
      <w:r>
        <w:rPr>
          <w:lang w:val="ru-RU" w:eastAsia="ru-RU" w:bidi="ru-RU"/>
          <w:sz w:val="24"/>
          <w:szCs w:val="24"/>
          <w:w w:val="100"/>
          <w:spacing w:val="0"/>
          <w:color w:val="000000"/>
          <w:position w:val="0"/>
        </w:rPr>
        <w:t>Главного специалиста-эксперта отдела обжалования государственных закупок А.А. Кутейникова,</w:t>
      </w:r>
    </w:p>
    <w:p>
      <w:pPr>
        <w:pStyle w:val="Style5"/>
        <w:tabs>
          <w:tab w:leader="none" w:pos="587" w:val="left"/>
        </w:tabs>
        <w:widowControl w:val="0"/>
        <w:keepNext w:val="0"/>
        <w:keepLines w:val="0"/>
        <w:shd w:val="clear" w:color="auto" w:fill="auto"/>
        <w:bidi w:val="0"/>
        <w:jc w:val="both"/>
        <w:spacing w:before="0" w:after="0"/>
        <w:ind w:left="40" w:right="40" w:firstLine="880"/>
      </w:pPr>
      <w:r>
        <w:rPr>
          <w:lang w:val="ru-RU" w:eastAsia="ru-RU" w:bidi="ru-RU"/>
          <w:sz w:val="24"/>
          <w:szCs w:val="24"/>
          <w:w w:val="100"/>
          <w:spacing w:val="0"/>
          <w:color w:val="000000"/>
          <w:position w:val="0"/>
        </w:rPr>
        <w:t>рассмотрение жалоб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ind w:left="40" w:right="40" w:firstLine="0"/>
      </w:pPr>
      <w:r>
        <w:rPr>
          <w:lang w:val="ru-RU" w:eastAsia="ru-RU" w:bidi="ru-RU"/>
          <w:sz w:val="24"/>
          <w:szCs w:val="24"/>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sz w:val="24"/>
          <w:szCs w:val="24"/>
          <w:w w:val="100"/>
          <w:spacing w:val="0"/>
          <w:color w:val="000000"/>
          <w:position w:val="0"/>
        </w:rPr>
        <w:t>2019-nCoV,</w:t>
      </w:r>
    </w:p>
    <w:p>
      <w:pPr>
        <w:pStyle w:val="Style5"/>
        <w:widowControl w:val="0"/>
        <w:keepNext w:val="0"/>
        <w:keepLines w:val="0"/>
        <w:shd w:val="clear" w:color="auto" w:fill="auto"/>
        <w:bidi w:val="0"/>
        <w:jc w:val="both"/>
        <w:spacing w:before="0" w:after="0"/>
        <w:ind w:left="40" w:right="0" w:firstLine="880"/>
      </w:pPr>
      <w:r>
        <w:rPr>
          <w:lang w:val="ru-RU" w:eastAsia="ru-RU" w:bidi="ru-RU"/>
          <w:sz w:val="24"/>
          <w:szCs w:val="24"/>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ind w:left="40" w:right="40" w:firstLine="880"/>
      </w:pPr>
      <w:r>
        <w:rPr>
          <w:lang w:val="ru-RU" w:eastAsia="ru-RU" w:bidi="ru-RU"/>
          <w:sz w:val="24"/>
          <w:szCs w:val="24"/>
          <w:w w:val="100"/>
          <w:spacing w:val="0"/>
          <w:color w:val="000000"/>
          <w:position w:val="0"/>
        </w:rPr>
        <w:t>ФГБУ «НМИЦ ОНКОЛОГИИ ИМ. Н.Н. БЛОХИНА» МИНЗДРАВА РОССИИ: В.П. Григоренко (по доверенности от 30.12.2020 №280/Д), С.В. Поварова (по доверенности от 20.01.2021 №24/Д),</w:t>
      </w:r>
    </w:p>
    <w:p>
      <w:pPr>
        <w:pStyle w:val="Style3"/>
        <w:framePr w:w="1685" w:h="394" w:wrap="around" w:vAnchor="text" w:hAnchor="margin" w:x="385" w:y="1907"/>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001917309947</w:t>
      </w:r>
    </w:p>
    <w:p>
      <w:pPr>
        <w:pStyle w:val="Style5"/>
        <w:widowControl w:val="0"/>
        <w:keepNext w:val="0"/>
        <w:keepLines w:val="0"/>
        <w:shd w:val="clear" w:color="auto" w:fill="auto"/>
        <w:bidi w:val="0"/>
        <w:jc w:val="left"/>
        <w:spacing w:before="0" w:after="0"/>
        <w:ind w:left="40" w:right="40" w:firstLine="880"/>
      </w:pPr>
      <w:r>
        <w:rPr>
          <w:lang w:val="ru-RU" w:eastAsia="ru-RU" w:bidi="ru-RU"/>
          <w:sz w:val="24"/>
          <w:szCs w:val="24"/>
          <w:w w:val="100"/>
          <w:spacing w:val="0"/>
          <w:color w:val="000000"/>
          <w:position w:val="0"/>
        </w:rPr>
        <w:t>ООО «АСТ Сервис»: П.Ю. Махно (по доверенности от 11.11.2021 №б/н), рассмотрев жалобы ООО «АСТ Сервис» (далее — Заявитель) на действия ФГБУ «НМИЦ ОНКОЛОГИИ ИМ. Н.Н. БЛОХИНА» МИНЗДРАВА РОССИИ (далее — Заказчик) при проведении конкурса с ограниченным участием в электронной форме на оказание услуг по организации лечебного питания пациентов,</w:t>
      </w:r>
      <w:r>
        <w:br w:type="page"/>
      </w:r>
    </w:p>
    <w:p>
      <w:pPr>
        <w:pStyle w:val="Style5"/>
        <w:widowControl w:val="0"/>
        <w:keepNext w:val="0"/>
        <w:keepLines w:val="0"/>
        <w:shd w:val="clear" w:color="auto" w:fill="auto"/>
        <w:bidi w:val="0"/>
        <w:jc w:val="both"/>
        <w:spacing w:before="0" w:after="349"/>
        <w:ind w:left="20" w:right="20" w:firstLine="0"/>
      </w:pPr>
      <w:r>
        <w:rPr>
          <w:lang w:val="ru-RU" w:eastAsia="ru-RU" w:bidi="ru-RU"/>
          <w:sz w:val="24"/>
          <w:szCs w:val="24"/>
          <w:w w:val="100"/>
          <w:spacing w:val="0"/>
          <w:color w:val="000000"/>
          <w:position w:val="0"/>
        </w:rPr>
        <w:t>находящихся на стационарном лечении (Закупка № 0373100094321001067) (далее — конкурс)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spacing w:before="0" w:after="308"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Заявитель обжалует действия Заказчика, выразившиеся в размещении конкурсной документации в нарушение норм Закона о контрактной системе.</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На заседании Комиссии Управления Заказчиком представлены запрашиваемые письмом Московского УФАС России от 08.11.2021 № ЕИ/67691/21 документы и сведения.</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результате рассмотрения жалобы, представленных документов и сведений, Комиссия Управления установила следующее.</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силу п.4 ст.56.1 Закона о контрактной системе при проведении конкурса с ограниченным участием в электронной форме применяются положения Закона о контрактной системе о проведении открытого конкурса в электронной форме с учетом особенностей, определенных настоящей статьей.</w:t>
      </w:r>
    </w:p>
    <w:p>
      <w:pPr>
        <w:pStyle w:val="Style5"/>
        <w:numPr>
          <w:ilvl w:val="0"/>
          <w:numId w:val="1"/>
        </w:numPr>
        <w:tabs>
          <w:tab w:leader="none" w:pos="2754" w:val="left"/>
          <w:tab w:leader="none" w:pos="4972" w:val="center"/>
          <w:tab w:leader="none" w:pos="5639" w:val="left"/>
          <w:tab w:leader="none" w:pos="10194" w:val="right"/>
          <w:tab w:leader="none" w:pos="1067" w:val="left"/>
        </w:tabs>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По мнению Заявителя, положения порядка оценки заявок по показателю «Опыт участника по успешной поставке товара, выполнению работ, оказанию услуг сопоставимого характера и объема» нестоимостного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установлены в нарушение норм законодательства о</w:t>
        <w:tab/>
        <w:t>контрактной</w:t>
        <w:tab/>
        <w:t>системе</w:t>
        <w:tab/>
        <w:t>и влекут ограничение</w:t>
        <w:tab/>
        <w:t>количества</w:t>
      </w:r>
    </w:p>
    <w:p>
      <w:pPr>
        <w:pStyle w:val="Style5"/>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участников закупки.</w:t>
      </w:r>
    </w:p>
    <w:p>
      <w:pPr>
        <w:pStyle w:val="Style5"/>
        <w:tabs>
          <w:tab w:leader="none" w:pos="2754" w:val="left"/>
          <w:tab w:leader="none" w:pos="3337" w:val="left"/>
          <w:tab w:leader="none" w:pos="4972" w:val="center"/>
          <w:tab w:leader="none" w:pos="10194" w:val="right"/>
        </w:tabs>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Согласно п.8</w:t>
        <w:tab/>
        <w:t>ч.1</w:t>
        <w:tab/>
        <w:t>ст.54.3</w:t>
        <w:tab/>
        <w:t>Закона о контрактной системе</w:t>
        <w:tab/>
        <w:t>конкурсная</w:t>
      </w:r>
    </w:p>
    <w:p>
      <w:pPr>
        <w:pStyle w:val="Style5"/>
        <w:tabs>
          <w:tab w:leader="none" w:pos="2754" w:val="left"/>
          <w:tab w:leader="none" w:pos="5639" w:val="left"/>
        </w:tabs>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документация наряду с информацией, указанной в извещении о проведении открытого конкурса</w:t>
        <w:tab/>
        <w:t>в электронной форме,</w:t>
        <w:tab/>
        <w:t>должна содержать критерии оценки</w:t>
      </w:r>
    </w:p>
    <w:p>
      <w:pPr>
        <w:pStyle w:val="Style5"/>
        <w:tabs>
          <w:tab w:leader="none" w:pos="2754" w:val="left"/>
          <w:tab w:leader="none" w:pos="4972" w:val="center"/>
          <w:tab w:leader="none" w:pos="5704" w:val="left"/>
          <w:tab w:leader="none" w:pos="10194" w:val="righ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заявок на участие</w:t>
        <w:tab/>
        <w:t>в открытом</w:t>
        <w:tab/>
        <w:t>конкурсе</w:t>
        <w:tab/>
        <w:t>в электронной форме,</w:t>
        <w:tab/>
        <w:t>величины</w:t>
      </w:r>
    </w:p>
    <w:p>
      <w:pPr>
        <w:pStyle w:val="Style5"/>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силу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п.3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 1085 (далее - Правила),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В соответствии с п.11 Правил по каждому критерию оценки используется 100-балльная </w:t>
      </w:r>
      <w:r>
        <w:rPr>
          <w:rStyle w:val="CharStyle12"/>
          <w:lang w:val="ru-RU" w:eastAsia="ru-RU" w:bidi="ru-RU"/>
        </w:rPr>
        <w:t>шк</w:t>
      </w:r>
      <w:r>
        <w:rPr>
          <w:lang w:val="ru-RU" w:eastAsia="ru-RU" w:bidi="ru-RU"/>
          <w:sz w:val="24"/>
          <w:szCs w:val="24"/>
          <w:w w:val="100"/>
          <w:spacing w:val="0"/>
          <w:color w:val="000000"/>
          <w:position w:val="0"/>
        </w:rPr>
        <w:t>ала оценки. Если в соответствии с п.10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 Сумма величин значимости показателей критерия оценки должна составлять 100 процентов.</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На основании изложенного, при наличии в документации о закупке показателей нестоимостного критерия, порядок оценки должен содержать:</w:t>
      </w:r>
    </w:p>
    <w:p>
      <w:pPr>
        <w:pStyle w:val="Style5"/>
        <w:numPr>
          <w:ilvl w:val="0"/>
          <w:numId w:val="3"/>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значимость в отношении каждого показателя, которая в соответствии с п.3 Правил является выраженным в процентах весом показателя;</w:t>
      </w:r>
    </w:p>
    <w:p>
      <w:pPr>
        <w:pStyle w:val="Style5"/>
        <w:numPr>
          <w:ilvl w:val="0"/>
          <w:numId w:val="3"/>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сумму величин значимости показателей критерия оценки в размере 100 процентов;</w:t>
      </w:r>
    </w:p>
    <w:p>
      <w:pPr>
        <w:pStyle w:val="Style5"/>
        <w:numPr>
          <w:ilvl w:val="0"/>
          <w:numId w:val="3"/>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формулу расчета или шкалу количества баллов, предусматривающую присвоение по каждому показателю от 0 до 100 баллов (для дальнейшего умножения на коэффициент значимости показателя).</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Комиссией Управления определено, что согласно конкурсным документациям по показателю «Опыт участника по успешному выполнению работ сопоставимого характера» нестоимостного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установлены в том числе следующие положения: «Под успешно исполненным контрактом (договором) понимается контракт (договор), исполненный без применения к такому участнику закупки неустоек (штрафов, пеней), исполнение обязательств исполнителя по которому проходило и завершено в период с 01.01.2019 по дату окончания срока подачи заявок на участие в конкурсе и который не был расторгнут по вине исполнителя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а также Федерального закона от 18.07.2011 № 223-ФЗ «О закупках товаров, работ, услуг отдельными видами юридических лиц».</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составе жалобы Заявитель указывает, что в конкурсной документации установлено неправомерное требование о подтверждении опыта участника закупки по успешному выполнению работ исключительно контрактами, в отношении которых к участнику закупки не применялись неустойки (штрафы, пени).</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Кроме того по мнению Заявителя контракт на оказание услуг по организации питания в медицинских учреждениях ничем не отличается от контрактов на организацию питания в детских оздоровительных учреждениях, санаториях и профилакториях, учреждениях социальной защиты населения. Сам процесс оказания услуг по такому контракту состоит в основном из поставки качественных продуктов питания. Тем самым установленное Заказчиком положение порядка оценки, что под сопоставимым характером понимается контракт (договор) на оказание услуг по организации питания в медицинских организациях ограничивает участников закупки.</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Также Заявитель отмечает, что в качестве подтверждения наличия опыта участника закупки представляют в составе заявки акт/акты оказанных услуг по таким контрактам (договорам), подписанные обеими сторонами. Вместе с тем данные документы размещаются государственными заказчиками в Единой информационной системе в сфере закупок, и по мнению Заявителя данное положение является избыточным.</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На заседании Комиссии Управления представители Заказчика пояснили, что для Заказчика важно успешное выполнение контракта участниками закупки ввиду того, что исполнитель не допускающий в своей деятельности нарушений условий контракта, добросовестно относящийся к своим обязательствам, с большой вероятностью будет исполнять контракт лучше, чем участник закупки, привлекавшийся к ответственности за нарушение условий контракта, допускающий недобросовестное отношение к принятым на себя обязательствам.</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Также представители Заказчика пояснили, что в соответствии со ст.39 Федерального закона от 21.11.2011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323-ФЗ «Об основах охраны здоровья граждан в Российской Федерации» 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 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 согласно разделу VIII конкурсной документации установлены диеты (рационы питания), в том числе, такие диеты как высокобелковая диета, щадящая диета, зонд-диета для питания через зонд, рацион для отделения ТКМ и проктологии, послеоперационная диета (строгая), послеоперационная диета (переходный период), послеоперационная диета (адаптирующая), а так же диеты для детей различных возрастных групп. Данные диеты являются частью лечебного процесса, требуют определенного состава и соответствующей технологической обработки.</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Требования к лечебному питанию устанавливаются соответствующими нормативно-правовыми актами, следовательно данный вид питания не является тождественным к общественному питанию, упоминаемому Заявителем.</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Данный показатель очень важен для Заказчика, так как организации, имеющие успешный опыт оказания услуг по организации именно лечебного питания с наибольшей долей вероятности смогут исполнять контракт качественнее и лучше, чем организации не имеющие такого опыта.</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Кроме того, представители Заказчика пояснили, что акты оказанных услуг, подтверждающие наличие опыта участника закупки, необходимы для установления комиссией Заказчика факта успешного исполнения контракта (договора). Так нередко бывают ситуации, когда государственные Заказчики не размещаю или размещают не в полном объеме, Также бывают случаи когда размещается некорректная информация.</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Таким образом, требование о предоставлении в составе заявки копий актов оказанных услуг, призвано защитить права участника закупки, желающего подтвердить опыт оказания услуг, даже в случаях ошибок и неточностей в информации, размещенной в Единой информационной системе в сфере закупок.</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Комиссия Управления отмечает, что согласно ч.3 ст.24 Закона о контрактной системе под конкурсом понимается способ определения поставщика (подрядчика, исполнителя), при котором победителем признается участник закупки,</w:t>
      </w:r>
    </w:p>
    <w:p>
      <w:pPr>
        <w:pStyle w:val="Style13"/>
        <w:widowControl w:val="0"/>
        <w:keepNext w:val="0"/>
        <w:keepLines w:val="0"/>
        <w:shd w:val="clear" w:color="auto" w:fill="auto"/>
        <w:bidi w:val="0"/>
        <w:jc w:val="left"/>
        <w:spacing w:before="0" w:after="0"/>
        <w:ind w:left="20" w:right="0" w:firstLine="0"/>
      </w:pPr>
      <w:r>
        <w:rPr>
          <w:rStyle w:val="CharStyle15"/>
          <w:i w:val="0"/>
          <w:iCs w:val="0"/>
        </w:rPr>
        <w:t>предложив</w:t>
      </w:r>
      <w:r>
        <w:rPr>
          <w:rStyle w:val="CharStyle16"/>
          <w:i w:val="0"/>
          <w:iCs w:val="0"/>
        </w:rPr>
        <w:t>ши</w:t>
      </w:r>
      <w:r>
        <w:rPr>
          <w:rStyle w:val="CharStyle15"/>
          <w:i w:val="0"/>
          <w:iCs w:val="0"/>
        </w:rPr>
        <w:t xml:space="preserve">й </w:t>
      </w:r>
      <w:r>
        <w:rPr>
          <w:lang w:val="ru-RU" w:eastAsia="ru-RU" w:bidi="ru-RU"/>
          <w:w w:val="100"/>
          <w:spacing w:val="0"/>
          <w:color w:val="000000"/>
          <w:position w:val="0"/>
        </w:rPr>
        <w:t>лучшие условия исполнения контракта.</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В силу подпункта «б» пункта 27 Правил показателем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является в частности показатель «опыт участника по </w:t>
      </w:r>
      <w:r>
        <w:rPr>
          <w:rStyle w:val="CharStyle17"/>
        </w:rPr>
        <w:t>успешной</w:t>
      </w:r>
      <w:r>
        <w:rPr>
          <w:lang w:val="ru-RU" w:eastAsia="ru-RU" w:bidi="ru-RU"/>
          <w:sz w:val="24"/>
          <w:szCs w:val="24"/>
          <w:w w:val="100"/>
          <w:spacing w:val="0"/>
          <w:color w:val="000000"/>
          <w:position w:val="0"/>
        </w:rPr>
        <w:t xml:space="preserve"> поставке товара, выполнению работ, оказанию услуг сопоставимого характера и объема».</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Исходя из самого наименования показателя следует, что для того, чтобы опыт оценивался как соответствующий, должны соблюдаться три условия:</w:t>
      </w:r>
    </w:p>
    <w:p>
      <w:pPr>
        <w:pStyle w:val="Style5"/>
        <w:numPr>
          <w:ilvl w:val="0"/>
          <w:numId w:val="5"/>
        </w:numPr>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 xml:space="preserve"> работы должны быть сопоставимого характера;</w:t>
      </w:r>
    </w:p>
    <w:p>
      <w:pPr>
        <w:pStyle w:val="Style5"/>
        <w:numPr>
          <w:ilvl w:val="0"/>
          <w:numId w:val="5"/>
        </w:numPr>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 xml:space="preserve"> работы должны быть сопоставимого объема;</w:t>
      </w:r>
    </w:p>
    <w:p>
      <w:pPr>
        <w:pStyle w:val="Style5"/>
        <w:numPr>
          <w:ilvl w:val="0"/>
          <w:numId w:val="5"/>
        </w:numPr>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 xml:space="preserve"> работы должны быть успешно выполнены.</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Одновременно с этим Закон о контрактной системе и нормативно-правовые акты субъекта Российской Федерации не регламентируют установление в конкурсной документации тех или иных показателей, а также необходимую информацию, раскрывающую содержание нестоимостных критериев.</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Кроме того, в самих Правилах и в Законе о контрактной системе отсутствуют определения «сопоставимого характера», «сопоставимого объема», «успешного выполнения». Понимание всех этих терминов должны устанавливаться в конкурсной документации.</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Таким образом, прерогатива определить перечень показателей, их содержание и наполняемость, перечень документов, предоставляемых в составе заявки по показателям, а также значимость каждого показателя,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принадлежит заказчику. 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 (данный вывод содержится в Постановлении Арбитражного суда Московского округа от 29 августа 2019 г. по делу № А40-102856/18; Постановление Арбитражного суда Московского округа от 28.05.2019 № Ф05- 5722/2019 по делу № А40-162400/18-33-1944; Постановление Арбитражного суда Московского округа от 08.11.2018 № Ф05-14635/2018 по делу № А40-8295/18).</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Кроме того согласно позиции ФАС России, изложенной в письме от 19.10.2015г. №АЦ/57532/15, в случае установления в документации о закупке показателя «опыт участника по успешной поставке товара, выполнению работ, оказанию услуг сопоставимого характера и объема» критерия «квалификация участников закупки» заказчик раскрывает содержание, определяющее сопоставимость имеющегося у участников закупки опыта по поставке товара, выполнению работ, оказанию услуг с предметом осуществляемой закупки, в том числе, указывает единицу измерения объема.</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Таким образом, с учетом опыта приемки услуг подобного рода, Заказчиком установлены положения порядка оценки, наиболее подходящие, по мнению Заказчика, критерию успешности опыта участника по выполнению работ сопоставимого характера и объема.</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Комиссия Управления дополнительно отмечает, что целью проведения конкурса является выявление победителя в лице участника закупи, предложившего лучшие условия исполнения контракта.</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Например, в случае отсутствия в порядке оценки условия о том, что представляемые участниками контракты должны быть исполнены без применения к таким участникам штрафов/пеней/неустоек, при рассмотрении заявок участник закупки, предоставивший 10 контрактов без применения к нему неустоек/ штрафов/пеней, находится в равных условиях с участником, предложившим также 10 контрактов на сопоставимую сумму, но имеющим по всем представленным контрактам начисленные неустойки/штрафы/пени. При указанных обстоятельствах, очевидно, не представляется возможным говорить о том, что порядок оценки направлен на выявление лучших условий исполнения контракта и, как следствие, не отвечает общему определению понятия «оценка», заложенному в общих определениях Правил (п.3 Правил) и принципу проведения конкурса.</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Доводы Заявителя об ограничении количества участников закупки установленным Заказчиком порядком оценки не отвечают существу проведения процедуры конкурса, поскольку положения порядка оценки влияют на присвоение баллов в отношении поданных заявок, но не определяют условия допуска участников к конкурсу.</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При таких данных, в отсутствие какого-либо обоснования неправомерности действий Заказчика по утверждению спорного порядка оценки, иное видение Заявителем методики оценки не свидетельствует о нарушении Заказчиком Закона о контрактной системе.</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правовой позиции, сформированной в постановлении Президиума Высшего Арбитражного Суда Российской Федерации от 28.12.2010 №11017/10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На основании вышеизложенного, поскольку Заказчик наделен правом самостоятельно раскрыть определение критерия успешности выполненных работ для надлежащего описания порядка оценки с целью выявления луч</w:t>
      </w:r>
      <w:r>
        <w:rPr>
          <w:rStyle w:val="CharStyle12"/>
          <w:lang w:val="ru-RU" w:eastAsia="ru-RU" w:bidi="ru-RU"/>
        </w:rPr>
        <w:t>ши</w:t>
      </w:r>
      <w:r>
        <w:rPr>
          <w:lang w:val="ru-RU" w:eastAsia="ru-RU" w:bidi="ru-RU"/>
          <w:sz w:val="24"/>
          <w:szCs w:val="24"/>
          <w:w w:val="100"/>
          <w:spacing w:val="0"/>
          <w:color w:val="000000"/>
          <w:position w:val="0"/>
        </w:rPr>
        <w:t>х условий исполнения контракта, у Комиссии Управления отсутствуют правовые основания для признания Заказчика нарушившим нормы действующего законодательства.</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Таким образом, Комиссия Управления приходит к выводу о необоснованности данных доводов жалобы.</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2. Кроме того, в составе жалобы Заявителем указано на наличие неправомерного порядка оценки по показателю «Обеспеченность участника закупки трудовыми ресурсами» нестоимостного критерия «Квалификация</w:t>
        <w:br w:type="page"/>
        <w:t>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что влечет ограничение количества участников закупки.</w:t>
      </w:r>
    </w:p>
    <w:p>
      <w:pPr>
        <w:pStyle w:val="Style5"/>
        <w:widowControl w:val="0"/>
        <w:keepNext w:val="0"/>
        <w:keepLines w:val="0"/>
        <w:shd w:val="clear" w:color="auto" w:fill="auto"/>
        <w:bidi w:val="0"/>
        <w:jc w:val="both"/>
        <w:spacing w:before="0" w:after="0"/>
        <w:ind w:left="0" w:right="40" w:firstLine="720"/>
      </w:pPr>
      <w:r>
        <w:rPr>
          <w:lang w:val="ru-RU" w:eastAsia="ru-RU" w:bidi="ru-RU"/>
          <w:sz w:val="24"/>
          <w:szCs w:val="24"/>
          <w:w w:val="100"/>
          <w:spacing w:val="0"/>
          <w:color w:val="000000"/>
          <w:position w:val="0"/>
        </w:rPr>
        <w:t>Комиссией Управления установлено, что порядком оценки конкурсных документаций по показателю «Обеспеченность участника закупки трудовыми ресурсами» предусмотрены следующие положения:</w:t>
      </w:r>
    </w:p>
    <w:p>
      <w:pPr>
        <w:pStyle w:val="Style5"/>
        <w:widowControl w:val="0"/>
        <w:keepNext w:val="0"/>
        <w:keepLines w:val="0"/>
        <w:shd w:val="clear" w:color="auto" w:fill="auto"/>
        <w:bidi w:val="0"/>
        <w:jc w:val="both"/>
        <w:spacing w:before="0" w:after="0"/>
        <w:ind w:left="0" w:right="0" w:firstLine="720"/>
      </w:pPr>
      <w:r>
        <w:rPr>
          <w:lang w:val="ru-RU" w:eastAsia="ru-RU" w:bidi="ru-RU"/>
          <w:sz w:val="24"/>
          <w:szCs w:val="24"/>
          <w:w w:val="100"/>
          <w:spacing w:val="0"/>
          <w:color w:val="000000"/>
          <w:position w:val="0"/>
        </w:rPr>
        <w:t>«Величина значимости показателя критерия оценки: 30%</w:t>
      </w:r>
    </w:p>
    <w:p>
      <w:pPr>
        <w:pStyle w:val="Style5"/>
        <w:widowControl w:val="0"/>
        <w:keepNext w:val="0"/>
        <w:keepLines w:val="0"/>
        <w:shd w:val="clear" w:color="auto" w:fill="auto"/>
        <w:bidi w:val="0"/>
        <w:jc w:val="left"/>
        <w:spacing w:before="0" w:after="0"/>
        <w:ind w:left="0" w:right="40" w:firstLine="720"/>
      </w:pPr>
      <w:r>
        <w:rPr>
          <w:lang w:val="ru-RU" w:eastAsia="ru-RU" w:bidi="ru-RU"/>
          <w:sz w:val="24"/>
          <w:szCs w:val="24"/>
          <w:w w:val="100"/>
          <w:spacing w:val="0"/>
          <w:color w:val="000000"/>
          <w:position w:val="0"/>
        </w:rPr>
        <w:t>Коэффициент значимости показателя критерия оценки: 0.3 Предмет оценки: квалификация руководителей и ключевых специалистов, предлагаемых для выполнения работ, оказания услуг.</w:t>
      </w:r>
    </w:p>
    <w:p>
      <w:pPr>
        <w:pStyle w:val="Style5"/>
        <w:widowControl w:val="0"/>
        <w:keepNext w:val="0"/>
        <w:keepLines w:val="0"/>
        <w:shd w:val="clear" w:color="auto" w:fill="auto"/>
        <w:bidi w:val="0"/>
        <w:jc w:val="both"/>
        <w:spacing w:before="0" w:after="0"/>
        <w:ind w:left="0" w:right="40" w:firstLine="720"/>
      </w:pPr>
      <w:r>
        <w:rPr>
          <w:lang w:val="ru-RU" w:eastAsia="ru-RU" w:bidi="ru-RU"/>
          <w:sz w:val="24"/>
          <w:szCs w:val="24"/>
          <w:w w:val="100"/>
          <w:spacing w:val="0"/>
          <w:color w:val="000000"/>
          <w:position w:val="0"/>
        </w:rPr>
        <w:t>Значения показателя и порядок оценки: наличие у участника конкурса на дату подачи заявки на участие в конкурсе работников, осуществляющих трудовую функцию по трудовому договору, иному договору гражданско-правового характера с участником конкурса, привлекаемых к исполнению контракта по следующим должностям: поваров, заведующих производством, работников кухни, товароведов, технолога, водителей, водителей-экспедиторов, сведения о которых указаны в Форме «Сведения о трудовых ресурсах (руководителей и ключевых специалистов), предлагаемых для выполнения работ, оказания услуг» заявки, состоящих в штате участника конкурса или оказывающих такие услуги на основании гражданско- правовых договоров и отвечающих установленным требованиям к образованию.</w:t>
      </w:r>
    </w:p>
    <w:p>
      <w:pPr>
        <w:pStyle w:val="Style5"/>
        <w:widowControl w:val="0"/>
        <w:keepNext w:val="0"/>
        <w:keepLines w:val="0"/>
        <w:shd w:val="clear" w:color="auto" w:fill="auto"/>
        <w:bidi w:val="0"/>
        <w:jc w:val="both"/>
        <w:spacing w:before="0" w:after="0"/>
        <w:ind w:left="0" w:right="40" w:firstLine="720"/>
      </w:pPr>
      <w:r>
        <w:rPr>
          <w:lang w:val="ru-RU" w:eastAsia="ru-RU" w:bidi="ru-RU"/>
          <w:sz w:val="24"/>
          <w:szCs w:val="24"/>
          <w:w w:val="100"/>
          <w:spacing w:val="0"/>
          <w:color w:val="000000"/>
          <w:position w:val="0"/>
        </w:rPr>
        <w:t>Оценка заявок осуществляется с использованием следующих подпоказателей, указанных в таблице №1:</w:t>
      </w:r>
    </w:p>
    <w:tbl>
      <w:tblPr>
        <w:tblOverlap w:val="never"/>
        <w:tblLayout w:type="fixed"/>
        <w:jc w:val="center"/>
      </w:tblPr>
      <w:tblGrid>
        <w:gridCol w:w="1176"/>
        <w:gridCol w:w="3110"/>
      </w:tblGrid>
      <w:tr>
        <w:trPr>
          <w:trHeight w:val="730" w:hRule="exact"/>
        </w:trPr>
        <w:tc>
          <w:tcPr>
            <w:shd w:val="clear" w:color="auto" w:fill="FFFFFF"/>
            <w:vMerge w:val="restart"/>
            <w:tcBorders>
              <w:left w:val="single" w:sz="4"/>
              <w:top w:val="single" w:sz="4"/>
            </w:tcBorders>
            <w:vAlign w:val="top"/>
          </w:tcPr>
          <w:p>
            <w:pPr>
              <w:pStyle w:val="Style5"/>
              <w:framePr w:w="4286" w:wrap="around" w:vAnchor="text" w:hAnchor="margin" w:x="2" w:y="251"/>
              <w:widowControl w:val="0"/>
              <w:keepNext w:val="0"/>
              <w:keepLines w:val="0"/>
              <w:shd w:val="clear" w:color="auto" w:fill="auto"/>
              <w:bidi w:val="0"/>
              <w:jc w:val="left"/>
              <w:spacing w:before="0" w:after="0" w:line="240" w:lineRule="exact"/>
              <w:ind w:left="100" w:right="0" w:firstLine="0"/>
            </w:pPr>
            <w:r>
              <w:rPr>
                <w:rStyle w:val="CharStyle7"/>
                <w:spacing w:val="0"/>
              </w:rPr>
              <w:t>№ п/п</w:t>
            </w:r>
          </w:p>
        </w:tc>
        <w:tc>
          <w:tcPr>
            <w:shd w:val="clear" w:color="auto" w:fill="FFFFFF"/>
            <w:tcBorders>
              <w:left w:val="single" w:sz="4"/>
              <w:right w:val="single" w:sz="4"/>
              <w:top w:val="single" w:sz="4"/>
            </w:tcBorders>
            <w:vAlign w:val="bottom"/>
          </w:tcPr>
          <w:p>
            <w:pPr>
              <w:pStyle w:val="Style5"/>
              <w:framePr w:w="4286" w:wrap="around" w:vAnchor="text" w:hAnchor="margin" w:x="2" w:y="251"/>
              <w:widowControl w:val="0"/>
              <w:keepNext w:val="0"/>
              <w:keepLines w:val="0"/>
              <w:shd w:val="clear" w:color="auto" w:fill="auto"/>
              <w:bidi w:val="0"/>
              <w:jc w:val="both"/>
              <w:spacing w:before="0" w:after="180" w:line="240" w:lineRule="exact"/>
              <w:ind w:left="0" w:right="0" w:firstLine="0"/>
            </w:pPr>
            <w:r>
              <w:rPr>
                <w:rStyle w:val="CharStyle7"/>
                <w:spacing w:val="0"/>
              </w:rPr>
              <w:t>Наименование</w:t>
            </w:r>
          </w:p>
          <w:p>
            <w:pPr>
              <w:pStyle w:val="Style5"/>
              <w:framePr w:w="4286" w:wrap="around" w:vAnchor="text" w:hAnchor="margin" w:x="2" w:y="251"/>
              <w:widowControl w:val="0"/>
              <w:keepNext w:val="0"/>
              <w:keepLines w:val="0"/>
              <w:shd w:val="clear" w:color="auto" w:fill="auto"/>
              <w:bidi w:val="0"/>
              <w:jc w:val="both"/>
              <w:spacing w:before="180" w:after="0" w:line="240" w:lineRule="exact"/>
              <w:ind w:left="0" w:right="0" w:firstLine="0"/>
            </w:pPr>
            <w:r>
              <w:rPr>
                <w:rStyle w:val="CharStyle7"/>
                <w:spacing w:val="0"/>
              </w:rPr>
              <w:t>подпоказателя</w:t>
            </w:r>
          </w:p>
        </w:tc>
      </w:tr>
      <w:tr>
        <w:trPr>
          <w:trHeight w:val="883" w:hRule="exact"/>
        </w:trPr>
        <w:tc>
          <w:tcPr>
            <w:shd w:val="clear" w:color="auto" w:fill="FFFFFF"/>
            <w:vMerge/>
            <w:tcBorders>
              <w:left w:val="single" w:sz="4"/>
            </w:tcBorders>
            <w:vAlign w:val="top"/>
          </w:tcPr>
          <w:p>
            <w:pPr>
              <w:framePr w:w="4286" w:wrap="around" w:vAnchor="text" w:hAnchor="margin" w:x="2" w:y="251"/>
            </w:pPr>
          </w:p>
        </w:tc>
        <w:tc>
          <w:tcPr>
            <w:shd w:val="clear" w:color="auto" w:fill="FFFFFF"/>
            <w:tcBorders>
              <w:left w:val="single" w:sz="4"/>
              <w:right w:val="single" w:sz="4"/>
              <w:top w:val="single" w:sz="4"/>
            </w:tcBorders>
            <w:vAlign w:val="top"/>
          </w:tcPr>
          <w:p>
            <w:pPr>
              <w:framePr w:w="4286" w:wrap="around" w:vAnchor="text" w:hAnchor="margin" w:x="2" w:y="251"/>
              <w:widowControl w:val="0"/>
              <w:rPr>
                <w:sz w:val="10"/>
                <w:szCs w:val="10"/>
              </w:rPr>
            </w:pPr>
          </w:p>
        </w:tc>
      </w:tr>
      <w:tr>
        <w:trPr>
          <w:trHeight w:val="662" w:hRule="exact"/>
        </w:trPr>
        <w:tc>
          <w:tcPr>
            <w:shd w:val="clear" w:color="auto" w:fill="FFFFFF"/>
            <w:tcBorders>
              <w:left w:val="single" w:sz="4"/>
              <w:top w:val="single" w:sz="4"/>
            </w:tcBorders>
            <w:vAlign w:val="center"/>
          </w:tcPr>
          <w:p>
            <w:pPr>
              <w:pStyle w:val="Style5"/>
              <w:framePr w:w="4286" w:wrap="around" w:vAnchor="text" w:hAnchor="margin" w:x="2" w:y="251"/>
              <w:widowControl w:val="0"/>
              <w:keepNext w:val="0"/>
              <w:keepLines w:val="0"/>
              <w:shd w:val="clear" w:color="auto" w:fill="auto"/>
              <w:bidi w:val="0"/>
              <w:jc w:val="left"/>
              <w:spacing w:before="0" w:after="0" w:line="240" w:lineRule="exact"/>
              <w:ind w:left="100" w:right="0" w:firstLine="0"/>
            </w:pPr>
            <w:r>
              <w:rPr>
                <w:rStyle w:val="CharStyle7"/>
                <w:spacing w:val="0"/>
              </w:rPr>
              <w:t>1.</w:t>
            </w:r>
          </w:p>
        </w:tc>
        <w:tc>
          <w:tcPr>
            <w:shd w:val="clear" w:color="auto" w:fill="FFFFFF"/>
            <w:tcBorders>
              <w:left w:val="single" w:sz="4"/>
              <w:right w:val="single" w:sz="4"/>
              <w:top w:val="single" w:sz="4"/>
            </w:tcBorders>
            <w:vAlign w:val="bottom"/>
          </w:tcPr>
          <w:p>
            <w:pPr>
              <w:pStyle w:val="Style5"/>
              <w:framePr w:w="4286" w:wrap="around" w:vAnchor="text" w:hAnchor="margin" w:x="2" w:y="251"/>
              <w:widowControl w:val="0"/>
              <w:keepNext w:val="0"/>
              <w:keepLines w:val="0"/>
              <w:shd w:val="clear" w:color="auto" w:fill="auto"/>
              <w:bidi w:val="0"/>
              <w:jc w:val="both"/>
              <w:spacing w:before="0" w:after="0" w:line="317" w:lineRule="exact"/>
              <w:ind w:left="0" w:right="0" w:firstLine="0"/>
            </w:pPr>
            <w:r>
              <w:rPr>
                <w:rStyle w:val="CharStyle7"/>
                <w:spacing w:val="0"/>
              </w:rPr>
              <w:t>Наличие в организации участника конкурса поваров</w:t>
            </w:r>
          </w:p>
        </w:tc>
      </w:tr>
      <w:tr>
        <w:trPr>
          <w:trHeight w:val="250" w:hRule="exact"/>
        </w:trPr>
        <w:tc>
          <w:tcPr>
            <w:shd w:val="clear" w:color="auto" w:fill="FFFFFF"/>
            <w:tcBorders>
              <w:left w:val="single" w:sz="4"/>
              <w:top w:val="single" w:sz="4"/>
            </w:tcBorders>
            <w:vAlign w:val="top"/>
          </w:tcPr>
          <w:p>
            <w:pPr>
              <w:framePr w:w="4286" w:wrap="around" w:vAnchor="text" w:hAnchor="margin" w:x="2" w:y="251"/>
              <w:widowControl w:val="0"/>
              <w:rPr>
                <w:sz w:val="10"/>
                <w:szCs w:val="10"/>
              </w:rPr>
            </w:pPr>
          </w:p>
        </w:tc>
        <w:tc>
          <w:tcPr>
            <w:shd w:val="clear" w:color="auto" w:fill="FFFFFF"/>
            <w:tcBorders>
              <w:left w:val="single" w:sz="4"/>
              <w:right w:val="single" w:sz="4"/>
              <w:top w:val="single" w:sz="4"/>
            </w:tcBorders>
            <w:vAlign w:val="top"/>
          </w:tcPr>
          <w:p>
            <w:pPr>
              <w:framePr w:w="4286" w:wrap="around" w:vAnchor="text" w:hAnchor="margin" w:x="2" w:y="251"/>
              <w:widowControl w:val="0"/>
              <w:rPr>
                <w:sz w:val="10"/>
                <w:szCs w:val="10"/>
              </w:rPr>
            </w:pPr>
          </w:p>
        </w:tc>
      </w:tr>
      <w:tr>
        <w:trPr>
          <w:trHeight w:val="989" w:hRule="exact"/>
        </w:trPr>
        <w:tc>
          <w:tcPr>
            <w:shd w:val="clear" w:color="auto" w:fill="FFFFFF"/>
            <w:vMerge w:val="restart"/>
            <w:tcBorders>
              <w:left w:val="single" w:sz="4"/>
              <w:top w:val="single" w:sz="4"/>
            </w:tcBorders>
            <w:vAlign w:val="top"/>
          </w:tcPr>
          <w:p>
            <w:pPr>
              <w:pStyle w:val="Style5"/>
              <w:framePr w:w="4286" w:wrap="around" w:vAnchor="text" w:hAnchor="margin" w:x="2" w:y="251"/>
              <w:widowControl w:val="0"/>
              <w:keepNext w:val="0"/>
              <w:keepLines w:val="0"/>
              <w:shd w:val="clear" w:color="auto" w:fill="auto"/>
              <w:bidi w:val="0"/>
              <w:jc w:val="left"/>
              <w:spacing w:before="0" w:after="0" w:line="240" w:lineRule="exact"/>
              <w:ind w:left="100" w:right="0" w:firstLine="0"/>
            </w:pPr>
            <w:r>
              <w:rPr>
                <w:rStyle w:val="CharStyle7"/>
                <w:spacing w:val="0"/>
              </w:rPr>
              <w:t>2.</w:t>
            </w:r>
          </w:p>
        </w:tc>
        <w:tc>
          <w:tcPr>
            <w:shd w:val="clear" w:color="auto" w:fill="FFFFFF"/>
            <w:tcBorders>
              <w:left w:val="single" w:sz="4"/>
              <w:right w:val="single" w:sz="4"/>
              <w:top w:val="single" w:sz="4"/>
            </w:tcBorders>
            <w:vAlign w:val="bottom"/>
          </w:tcPr>
          <w:p>
            <w:pPr>
              <w:pStyle w:val="Style5"/>
              <w:framePr w:w="4286" w:wrap="around" w:vAnchor="text" w:hAnchor="margin" w:x="2" w:y="251"/>
              <w:widowControl w:val="0"/>
              <w:keepNext w:val="0"/>
              <w:keepLines w:val="0"/>
              <w:shd w:val="clear" w:color="auto" w:fill="auto"/>
              <w:bidi w:val="0"/>
              <w:jc w:val="both"/>
              <w:spacing w:before="0" w:after="0" w:line="317" w:lineRule="exact"/>
              <w:ind w:left="0" w:right="0" w:firstLine="0"/>
            </w:pPr>
            <w:r>
              <w:rPr>
                <w:rStyle w:val="CharStyle7"/>
                <w:spacing w:val="0"/>
              </w:rPr>
              <w:t>Наличие в организации участника конкурса заведующих производством</w:t>
            </w:r>
          </w:p>
        </w:tc>
      </w:tr>
      <w:tr>
        <w:trPr>
          <w:trHeight w:val="245" w:hRule="exact"/>
        </w:trPr>
        <w:tc>
          <w:tcPr>
            <w:shd w:val="clear" w:color="auto" w:fill="FFFFFF"/>
            <w:vMerge/>
            <w:tcBorders>
              <w:left w:val="single" w:sz="4"/>
            </w:tcBorders>
            <w:vAlign w:val="top"/>
          </w:tcPr>
          <w:p>
            <w:pPr>
              <w:framePr w:w="4286" w:wrap="around" w:vAnchor="text" w:hAnchor="margin" w:x="2" w:y="251"/>
            </w:pPr>
          </w:p>
        </w:tc>
        <w:tc>
          <w:tcPr>
            <w:shd w:val="clear" w:color="auto" w:fill="FFFFFF"/>
            <w:tcBorders>
              <w:left w:val="single" w:sz="4"/>
              <w:right w:val="single" w:sz="4"/>
              <w:top w:val="single" w:sz="4"/>
            </w:tcBorders>
            <w:vAlign w:val="top"/>
          </w:tcPr>
          <w:p>
            <w:pPr>
              <w:framePr w:w="4286" w:wrap="around" w:vAnchor="text" w:hAnchor="margin" w:x="2" w:y="251"/>
              <w:widowControl w:val="0"/>
              <w:rPr>
                <w:sz w:val="10"/>
                <w:szCs w:val="10"/>
              </w:rPr>
            </w:pPr>
          </w:p>
        </w:tc>
      </w:tr>
      <w:tr>
        <w:trPr>
          <w:trHeight w:val="989" w:hRule="exact"/>
        </w:trPr>
        <w:tc>
          <w:tcPr>
            <w:shd w:val="clear" w:color="auto" w:fill="FFFFFF"/>
            <w:vMerge w:val="restart"/>
            <w:tcBorders>
              <w:left w:val="single" w:sz="4"/>
              <w:top w:val="single" w:sz="4"/>
            </w:tcBorders>
            <w:vAlign w:val="top"/>
          </w:tcPr>
          <w:p>
            <w:pPr>
              <w:pStyle w:val="Style5"/>
              <w:framePr w:w="4286" w:wrap="around" w:vAnchor="text" w:hAnchor="margin" w:x="2" w:y="251"/>
              <w:widowControl w:val="0"/>
              <w:keepNext w:val="0"/>
              <w:keepLines w:val="0"/>
              <w:shd w:val="clear" w:color="auto" w:fill="auto"/>
              <w:bidi w:val="0"/>
              <w:jc w:val="left"/>
              <w:spacing w:before="0" w:after="0" w:line="240" w:lineRule="exact"/>
              <w:ind w:left="100" w:right="0" w:firstLine="0"/>
            </w:pPr>
            <w:r>
              <w:rPr>
                <w:rStyle w:val="CharStyle7"/>
                <w:spacing w:val="0"/>
              </w:rPr>
              <w:t>3.</w:t>
            </w:r>
          </w:p>
        </w:tc>
        <w:tc>
          <w:tcPr>
            <w:shd w:val="clear" w:color="auto" w:fill="FFFFFF"/>
            <w:tcBorders>
              <w:left w:val="single" w:sz="4"/>
              <w:right w:val="single" w:sz="4"/>
              <w:top w:val="single" w:sz="4"/>
            </w:tcBorders>
            <w:vAlign w:val="bottom"/>
          </w:tcPr>
          <w:p>
            <w:pPr>
              <w:pStyle w:val="Style5"/>
              <w:framePr w:w="4286" w:wrap="around" w:vAnchor="text" w:hAnchor="margin" w:x="2" w:y="251"/>
              <w:widowControl w:val="0"/>
              <w:keepNext w:val="0"/>
              <w:keepLines w:val="0"/>
              <w:shd w:val="clear" w:color="auto" w:fill="auto"/>
              <w:bidi w:val="0"/>
              <w:jc w:val="both"/>
              <w:spacing w:before="0" w:after="0" w:line="317" w:lineRule="exact"/>
              <w:ind w:left="0" w:right="0" w:firstLine="0"/>
            </w:pPr>
            <w:r>
              <w:rPr>
                <w:rStyle w:val="CharStyle7"/>
                <w:spacing w:val="0"/>
              </w:rPr>
              <w:t>Наличие в организации участника конкурса работников кухни</w:t>
            </w:r>
          </w:p>
        </w:tc>
      </w:tr>
      <w:tr>
        <w:trPr>
          <w:trHeight w:val="250" w:hRule="exact"/>
        </w:trPr>
        <w:tc>
          <w:tcPr>
            <w:shd w:val="clear" w:color="auto" w:fill="FFFFFF"/>
            <w:vMerge/>
            <w:tcBorders>
              <w:left w:val="single" w:sz="4"/>
            </w:tcBorders>
            <w:vAlign w:val="top"/>
          </w:tcPr>
          <w:p>
            <w:pPr>
              <w:framePr w:w="4286" w:wrap="around" w:vAnchor="text" w:hAnchor="margin" w:x="2" w:y="251"/>
            </w:pPr>
          </w:p>
        </w:tc>
        <w:tc>
          <w:tcPr>
            <w:shd w:val="clear" w:color="auto" w:fill="FFFFFF"/>
            <w:tcBorders>
              <w:left w:val="single" w:sz="4"/>
              <w:right w:val="single" w:sz="4"/>
              <w:top w:val="single" w:sz="4"/>
            </w:tcBorders>
            <w:vAlign w:val="top"/>
          </w:tcPr>
          <w:p>
            <w:pPr>
              <w:framePr w:w="4286" w:wrap="around" w:vAnchor="text" w:hAnchor="margin" w:x="2" w:y="251"/>
              <w:widowControl w:val="0"/>
              <w:rPr>
                <w:sz w:val="10"/>
                <w:szCs w:val="10"/>
              </w:rPr>
            </w:pPr>
          </w:p>
        </w:tc>
      </w:tr>
      <w:tr>
        <w:trPr>
          <w:trHeight w:val="667" w:hRule="exact"/>
        </w:trPr>
        <w:tc>
          <w:tcPr>
            <w:shd w:val="clear" w:color="auto" w:fill="FFFFFF"/>
            <w:tcBorders>
              <w:left w:val="single" w:sz="4"/>
              <w:top w:val="single" w:sz="4"/>
            </w:tcBorders>
            <w:vAlign w:val="top"/>
          </w:tcPr>
          <w:p>
            <w:pPr>
              <w:pStyle w:val="Style5"/>
              <w:framePr w:w="4286" w:wrap="around" w:vAnchor="text" w:hAnchor="margin" w:x="2" w:y="251"/>
              <w:widowControl w:val="0"/>
              <w:keepNext w:val="0"/>
              <w:keepLines w:val="0"/>
              <w:shd w:val="clear" w:color="auto" w:fill="auto"/>
              <w:bidi w:val="0"/>
              <w:jc w:val="left"/>
              <w:spacing w:before="0" w:after="0" w:line="240" w:lineRule="exact"/>
              <w:ind w:left="100" w:right="0" w:firstLine="0"/>
            </w:pPr>
            <w:r>
              <w:rPr>
                <w:rStyle w:val="CharStyle7"/>
                <w:spacing w:val="0"/>
              </w:rPr>
              <w:t>4.</w:t>
            </w:r>
          </w:p>
        </w:tc>
        <w:tc>
          <w:tcPr>
            <w:shd w:val="clear" w:color="auto" w:fill="FFFFFF"/>
            <w:tcBorders>
              <w:left w:val="single" w:sz="4"/>
              <w:right w:val="single" w:sz="4"/>
              <w:top w:val="single" w:sz="4"/>
            </w:tcBorders>
            <w:vAlign w:val="bottom"/>
          </w:tcPr>
          <w:p>
            <w:pPr>
              <w:pStyle w:val="Style5"/>
              <w:framePr w:w="4286" w:wrap="around" w:vAnchor="text" w:hAnchor="margin" w:x="2" w:y="251"/>
              <w:widowControl w:val="0"/>
              <w:keepNext w:val="0"/>
              <w:keepLines w:val="0"/>
              <w:shd w:val="clear" w:color="auto" w:fill="auto"/>
              <w:bidi w:val="0"/>
              <w:jc w:val="both"/>
              <w:spacing w:before="0" w:after="0" w:line="317" w:lineRule="exact"/>
              <w:ind w:left="0" w:right="0" w:firstLine="0"/>
            </w:pPr>
            <w:r>
              <w:rPr>
                <w:rStyle w:val="CharStyle7"/>
                <w:spacing w:val="0"/>
              </w:rPr>
              <w:t>Наличие в организации участника конкурса</w:t>
            </w:r>
          </w:p>
        </w:tc>
      </w:tr>
      <w:tr>
        <w:trPr>
          <w:trHeight w:val="259" w:hRule="exact"/>
        </w:trPr>
        <w:tc>
          <w:tcPr>
            <w:shd w:val="clear" w:color="auto" w:fill="FFFFFF"/>
            <w:tcBorders>
              <w:left w:val="single" w:sz="4"/>
              <w:top w:val="single" w:sz="4"/>
              <w:bottom w:val="single" w:sz="4"/>
            </w:tcBorders>
            <w:vAlign w:val="top"/>
          </w:tcPr>
          <w:p>
            <w:pPr>
              <w:framePr w:w="4286" w:wrap="around" w:vAnchor="text" w:hAnchor="margin" w:x="2" w:y="251"/>
              <w:widowControl w:val="0"/>
              <w:rPr>
                <w:sz w:val="10"/>
                <w:szCs w:val="10"/>
              </w:rPr>
            </w:pPr>
          </w:p>
        </w:tc>
        <w:tc>
          <w:tcPr>
            <w:shd w:val="clear" w:color="auto" w:fill="FFFFFF"/>
            <w:tcBorders>
              <w:left w:val="single" w:sz="4"/>
              <w:right w:val="single" w:sz="4"/>
              <w:top w:val="single" w:sz="4"/>
              <w:bottom w:val="single" w:sz="4"/>
            </w:tcBorders>
            <w:vAlign w:val="top"/>
          </w:tcPr>
          <w:p>
            <w:pPr>
              <w:framePr w:w="4286" w:wrap="around" w:vAnchor="text" w:hAnchor="margin" w:x="2" w:y="251"/>
              <w:widowControl w:val="0"/>
              <w:rPr>
                <w:sz w:val="10"/>
                <w:szCs w:val="10"/>
              </w:rPr>
            </w:pPr>
          </w:p>
        </w:tc>
      </w:tr>
    </w:tbl>
    <w:p>
      <w:pPr>
        <w:pStyle w:val="Style5"/>
        <w:widowControl w:val="0"/>
        <w:keepNext w:val="0"/>
        <w:keepLines w:val="0"/>
        <w:shd w:val="clear" w:color="auto" w:fill="auto"/>
        <w:bidi w:val="0"/>
        <w:jc w:val="both"/>
        <w:spacing w:before="0" w:after="0"/>
        <w:ind w:left="0" w:right="0" w:firstLine="720"/>
      </w:pPr>
      <w:r>
        <w:rPr>
          <w:lang w:val="ru-RU" w:eastAsia="ru-RU" w:bidi="ru-RU"/>
          <w:sz w:val="24"/>
          <w:szCs w:val="24"/>
          <w:w w:val="100"/>
          <w:spacing w:val="0"/>
          <w:color w:val="000000"/>
          <w:position w:val="0"/>
        </w:rPr>
        <w:t>Таблица №1</w:t>
      </w:r>
    </w:p>
    <w:tbl>
      <w:tblPr>
        <w:tblOverlap w:val="never"/>
        <w:tblLayout w:type="fixed"/>
        <w:jc w:val="right"/>
      </w:tblPr>
      <w:tblGrid>
        <w:gridCol w:w="2035"/>
        <w:gridCol w:w="2088"/>
        <w:gridCol w:w="1838"/>
      </w:tblGrid>
      <w:tr>
        <w:trPr>
          <w:trHeight w:val="216" w:hRule="exact"/>
        </w:trPr>
        <w:tc>
          <w:tcPr>
            <w:shd w:val="clear" w:color="auto" w:fill="FFFFFF"/>
            <w:vMerge w:val="restart"/>
            <w:tcBorders>
              <w:left w:val="single" w:sz="4"/>
              <w:top w:val="single" w:sz="4"/>
            </w:tcBorders>
            <w:vAlign w:val="top"/>
          </w:tcPr>
          <w:p>
            <w:pPr>
              <w:framePr w:w="5962" w:wrap="notBeside" w:vAnchor="text" w:hAnchor="text" w:xAlign="right" w:y="1"/>
              <w:widowControl w:val="0"/>
              <w:rPr>
                <w:sz w:val="10"/>
                <w:szCs w:val="10"/>
              </w:rPr>
            </w:pPr>
          </w:p>
        </w:tc>
        <w:tc>
          <w:tcPr>
            <w:shd w:val="clear" w:color="auto" w:fill="FFFFFF"/>
            <w:tcBorders>
              <w:left w:val="single" w:sz="4"/>
              <w:top w:val="single" w:sz="4"/>
            </w:tcBorders>
            <w:vAlign w:val="top"/>
          </w:tcPr>
          <w:p>
            <w:pPr>
              <w:framePr w:w="5962" w:wrap="notBeside" w:vAnchor="text" w:hAnchor="text" w:xAlign="right" w:y="1"/>
              <w:widowControl w:val="0"/>
              <w:rPr>
                <w:sz w:val="10"/>
                <w:szCs w:val="10"/>
              </w:rPr>
            </w:pPr>
          </w:p>
        </w:tc>
        <w:tc>
          <w:tcPr>
            <w:shd w:val="clear" w:color="auto" w:fill="FFFFFF"/>
            <w:vMerge w:val="restart"/>
            <w:tcBorders>
              <w:left w:val="single" w:sz="4"/>
              <w:right w:val="single" w:sz="4"/>
              <w:top w:val="single" w:sz="4"/>
            </w:tcBorders>
            <w:vAlign w:val="bottom"/>
          </w:tcPr>
          <w:p>
            <w:pPr>
              <w:pStyle w:val="Style5"/>
              <w:framePr w:w="5962" w:wrap="notBeside" w:vAnchor="text" w:hAnchor="text" w:xAlign="right" w:y="1"/>
              <w:widowControl w:val="0"/>
              <w:keepNext w:val="0"/>
              <w:keepLines w:val="0"/>
              <w:shd w:val="clear" w:color="auto" w:fill="auto"/>
              <w:bidi w:val="0"/>
              <w:jc w:val="center"/>
              <w:spacing w:before="0" w:after="0" w:line="317" w:lineRule="exact"/>
              <w:ind w:left="0" w:right="0" w:firstLine="0"/>
            </w:pPr>
            <w:r>
              <w:rPr>
                <w:rStyle w:val="CharStyle7"/>
                <w:spacing w:val="0"/>
              </w:rPr>
              <w:t>Предельно</w:t>
            </w:r>
          </w:p>
          <w:p>
            <w:pPr>
              <w:pStyle w:val="Style5"/>
              <w:framePr w:w="5962" w:wrap="notBeside" w:vAnchor="text" w:hAnchor="text" w:xAlign="right" w:y="1"/>
              <w:widowControl w:val="0"/>
              <w:keepNext w:val="0"/>
              <w:keepLines w:val="0"/>
              <w:shd w:val="clear" w:color="auto" w:fill="auto"/>
              <w:bidi w:val="0"/>
              <w:jc w:val="center"/>
              <w:spacing w:before="0" w:after="0" w:line="317" w:lineRule="exact"/>
              <w:ind w:left="0" w:right="0" w:firstLine="0"/>
            </w:pPr>
            <w:r>
              <w:rPr>
                <w:rStyle w:val="CharStyle7"/>
                <w:spacing w:val="0"/>
              </w:rPr>
              <w:t>необходимое</w:t>
            </w:r>
          </w:p>
          <w:p>
            <w:pPr>
              <w:pStyle w:val="Style5"/>
              <w:framePr w:w="5962" w:wrap="notBeside" w:vAnchor="text" w:hAnchor="text" w:xAlign="right" w:y="1"/>
              <w:widowControl w:val="0"/>
              <w:keepNext w:val="0"/>
              <w:keepLines w:val="0"/>
              <w:shd w:val="clear" w:color="auto" w:fill="auto"/>
              <w:bidi w:val="0"/>
              <w:jc w:val="center"/>
              <w:spacing w:before="0" w:after="0" w:line="317" w:lineRule="exact"/>
              <w:ind w:left="0" w:right="0" w:firstLine="0"/>
            </w:pPr>
            <w:r>
              <w:rPr>
                <w:rStyle w:val="CharStyle7"/>
                <w:spacing w:val="0"/>
              </w:rPr>
              <w:t>заказчику</w:t>
            </w:r>
          </w:p>
          <w:p>
            <w:pPr>
              <w:pStyle w:val="Style5"/>
              <w:framePr w:w="5962" w:wrap="notBeside" w:vAnchor="text" w:hAnchor="text" w:xAlign="right" w:y="1"/>
              <w:widowControl w:val="0"/>
              <w:keepNext w:val="0"/>
              <w:keepLines w:val="0"/>
              <w:shd w:val="clear" w:color="auto" w:fill="auto"/>
              <w:bidi w:val="0"/>
              <w:jc w:val="center"/>
              <w:spacing w:before="0" w:after="0" w:line="317" w:lineRule="exact"/>
              <w:ind w:left="0" w:right="0" w:firstLine="0"/>
            </w:pPr>
            <w:r>
              <w:rPr>
                <w:rStyle w:val="CharStyle7"/>
                <w:spacing w:val="0"/>
              </w:rPr>
              <w:t>значение</w:t>
            </w:r>
          </w:p>
        </w:tc>
      </w:tr>
      <w:tr>
        <w:trPr>
          <w:trHeight w:val="158" w:hRule="exact"/>
        </w:trPr>
        <w:tc>
          <w:tcPr>
            <w:shd w:val="clear" w:color="auto" w:fill="FFFFFF"/>
            <w:vMerge/>
            <w:tcBorders>
              <w:left w:val="single" w:sz="4"/>
            </w:tcBorders>
            <w:vAlign w:val="top"/>
          </w:tcPr>
          <w:p>
            <w:pPr>
              <w:framePr w:w="5962" w:wrap="notBeside" w:vAnchor="text" w:hAnchor="text" w:xAlign="right" w:y="1"/>
            </w:pPr>
          </w:p>
        </w:tc>
        <w:tc>
          <w:tcPr>
            <w:shd w:val="clear" w:color="auto" w:fill="FFFFFF"/>
            <w:vMerge w:val="restart"/>
            <w:tcBorders>
              <w:left w:val="single" w:sz="4"/>
              <w:top w:val="single" w:sz="4"/>
            </w:tcBorders>
            <w:vAlign w:val="bottom"/>
          </w:tcPr>
          <w:p>
            <w:pPr>
              <w:pStyle w:val="Style5"/>
              <w:framePr w:w="5962" w:wrap="notBeside" w:vAnchor="text" w:hAnchor="text" w:xAlign="right" w:y="1"/>
              <w:widowControl w:val="0"/>
              <w:keepNext w:val="0"/>
              <w:keepLines w:val="0"/>
              <w:shd w:val="clear" w:color="auto" w:fill="auto"/>
              <w:bidi w:val="0"/>
              <w:jc w:val="center"/>
              <w:spacing w:before="0" w:after="0" w:line="317" w:lineRule="exact"/>
              <w:ind w:left="0" w:right="0" w:firstLine="0"/>
            </w:pPr>
            <w:r>
              <w:rPr>
                <w:rStyle w:val="CharStyle7"/>
                <w:spacing w:val="0"/>
              </w:rPr>
              <w:t>Коэффициент значимости подпоказателя (КЗ)</w:t>
            </w:r>
          </w:p>
        </w:tc>
        <w:tc>
          <w:tcPr>
            <w:shd w:val="clear" w:color="auto" w:fill="FFFFFF"/>
            <w:vMerge/>
            <w:tcBorders>
              <w:left w:val="single" w:sz="4"/>
              <w:right w:val="single" w:sz="4"/>
            </w:tcBorders>
            <w:vAlign w:val="bottom"/>
          </w:tcPr>
          <w:p>
            <w:pPr>
              <w:framePr w:w="5962" w:wrap="notBeside" w:vAnchor="text" w:hAnchor="text" w:xAlign="right" w:y="1"/>
            </w:pPr>
          </w:p>
        </w:tc>
      </w:tr>
      <w:tr>
        <w:trPr>
          <w:trHeight w:val="667" w:hRule="exact"/>
        </w:trPr>
        <w:tc>
          <w:tcPr>
            <w:shd w:val="clear" w:color="auto" w:fill="FFFFFF"/>
            <w:tcBorders>
              <w:left w:val="single" w:sz="4"/>
              <w:top w:val="single" w:sz="4"/>
            </w:tcBorders>
            <w:vAlign w:val="bottom"/>
          </w:tcPr>
          <w:p>
            <w:pPr>
              <w:pStyle w:val="Style5"/>
              <w:framePr w:w="5962" w:wrap="notBeside" w:vAnchor="text" w:hAnchor="text" w:xAlign="right" w:y="1"/>
              <w:widowControl w:val="0"/>
              <w:keepNext w:val="0"/>
              <w:keepLines w:val="0"/>
              <w:shd w:val="clear" w:color="auto" w:fill="auto"/>
              <w:bidi w:val="0"/>
              <w:jc w:val="center"/>
              <w:spacing w:before="0" w:after="180" w:line="260" w:lineRule="exact"/>
              <w:ind w:left="0" w:right="0" w:firstLine="0"/>
            </w:pPr>
            <w:r>
              <w:rPr>
                <w:rStyle w:val="CharStyle7"/>
                <w:spacing w:val="0"/>
              </w:rPr>
              <w:t>Значимость</w:t>
            </w:r>
          </w:p>
          <w:p>
            <w:pPr>
              <w:pStyle w:val="Style5"/>
              <w:framePr w:w="5962" w:wrap="notBeside" w:vAnchor="text" w:hAnchor="text" w:xAlign="right" w:y="1"/>
              <w:widowControl w:val="0"/>
              <w:keepNext w:val="0"/>
              <w:keepLines w:val="0"/>
              <w:shd w:val="clear" w:color="auto" w:fill="auto"/>
              <w:bidi w:val="0"/>
              <w:jc w:val="center"/>
              <w:spacing w:before="180" w:after="0" w:line="260" w:lineRule="exact"/>
              <w:ind w:left="0" w:right="0" w:firstLine="0"/>
            </w:pPr>
            <w:r>
              <w:rPr>
                <w:rStyle w:val="CharStyle7"/>
                <w:spacing w:val="0"/>
              </w:rPr>
              <w:t>подпоказателя</w:t>
            </w:r>
          </w:p>
        </w:tc>
        <w:tc>
          <w:tcPr>
            <w:shd w:val="clear" w:color="auto" w:fill="FFFFFF"/>
            <w:vMerge/>
            <w:tcBorders>
              <w:left w:val="single" w:sz="4"/>
            </w:tcBorders>
            <w:vAlign w:val="bottom"/>
          </w:tcPr>
          <w:p>
            <w:pPr>
              <w:framePr w:w="5962" w:wrap="notBeside" w:vAnchor="text" w:hAnchor="text" w:xAlign="right" w:y="1"/>
            </w:pPr>
          </w:p>
        </w:tc>
        <w:tc>
          <w:tcPr>
            <w:shd w:val="clear" w:color="auto" w:fill="FFFFFF"/>
            <w:vMerge/>
            <w:tcBorders>
              <w:left w:val="single" w:sz="4"/>
              <w:right w:val="single" w:sz="4"/>
            </w:tcBorders>
            <w:vAlign w:val="bottom"/>
          </w:tcPr>
          <w:p>
            <w:pPr>
              <w:framePr w:w="5962" w:wrap="notBeside" w:vAnchor="text" w:hAnchor="text" w:xAlign="right" w:y="1"/>
            </w:pPr>
          </w:p>
        </w:tc>
      </w:tr>
      <w:tr>
        <w:trPr>
          <w:trHeight w:val="158" w:hRule="exact"/>
        </w:trPr>
        <w:tc>
          <w:tcPr>
            <w:shd w:val="clear" w:color="auto" w:fill="FFFFFF"/>
            <w:vMerge w:val="restart"/>
            <w:tcBorders>
              <w:left w:val="single" w:sz="4"/>
              <w:top w:val="single" w:sz="4"/>
            </w:tcBorders>
            <w:vAlign w:val="top"/>
          </w:tcPr>
          <w:p>
            <w:pPr>
              <w:framePr w:w="5962" w:wrap="notBeside" w:vAnchor="text" w:hAnchor="text" w:xAlign="right" w:y="1"/>
              <w:widowControl w:val="0"/>
              <w:rPr>
                <w:sz w:val="10"/>
                <w:szCs w:val="10"/>
              </w:rPr>
            </w:pPr>
          </w:p>
        </w:tc>
        <w:tc>
          <w:tcPr>
            <w:shd w:val="clear" w:color="auto" w:fill="FFFFFF"/>
            <w:vMerge/>
            <w:tcBorders>
              <w:left w:val="single" w:sz="4"/>
            </w:tcBorders>
            <w:vAlign w:val="bottom"/>
          </w:tcPr>
          <w:p>
            <w:pPr>
              <w:framePr w:w="5962" w:wrap="notBeside" w:vAnchor="text" w:hAnchor="text" w:xAlign="right" w:y="1"/>
            </w:pPr>
          </w:p>
        </w:tc>
        <w:tc>
          <w:tcPr>
            <w:shd w:val="clear" w:color="auto" w:fill="FFFFFF"/>
            <w:vMerge/>
            <w:tcBorders>
              <w:left w:val="single" w:sz="4"/>
              <w:right w:val="single" w:sz="4"/>
            </w:tcBorders>
            <w:vAlign w:val="bottom"/>
          </w:tcPr>
          <w:p>
            <w:pPr>
              <w:framePr w:w="5962" w:wrap="notBeside" w:vAnchor="text" w:hAnchor="text" w:xAlign="right" w:y="1"/>
            </w:pPr>
          </w:p>
        </w:tc>
      </w:tr>
      <w:tr>
        <w:trPr>
          <w:trHeight w:val="163" w:hRule="exact"/>
        </w:trPr>
        <w:tc>
          <w:tcPr>
            <w:shd w:val="clear" w:color="auto" w:fill="FFFFFF"/>
            <w:vMerge/>
            <w:tcBorders>
              <w:left w:val="single" w:sz="4"/>
            </w:tcBorders>
            <w:vAlign w:val="top"/>
          </w:tcPr>
          <w:p>
            <w:pPr>
              <w:framePr w:w="5962" w:wrap="notBeside" w:vAnchor="text" w:hAnchor="text" w:xAlign="right" w:y="1"/>
            </w:pPr>
          </w:p>
        </w:tc>
        <w:tc>
          <w:tcPr>
            <w:shd w:val="clear" w:color="auto" w:fill="FFFFFF"/>
            <w:vMerge w:val="restart"/>
            <w:tcBorders>
              <w:left w:val="single" w:sz="4"/>
              <w:top w:val="single" w:sz="4"/>
            </w:tcBorders>
            <w:vAlign w:val="top"/>
          </w:tcPr>
          <w:p>
            <w:pPr>
              <w:framePr w:w="5962" w:wrap="notBeside" w:vAnchor="text" w:hAnchor="text" w:xAlign="right" w:y="1"/>
              <w:widowControl w:val="0"/>
              <w:rPr>
                <w:sz w:val="10"/>
                <w:szCs w:val="10"/>
              </w:rPr>
            </w:pPr>
          </w:p>
        </w:tc>
        <w:tc>
          <w:tcPr>
            <w:shd w:val="clear" w:color="auto" w:fill="FFFFFF"/>
            <w:vMerge/>
            <w:tcBorders>
              <w:left w:val="single" w:sz="4"/>
              <w:right w:val="single" w:sz="4"/>
            </w:tcBorders>
            <w:vAlign w:val="bottom"/>
          </w:tcPr>
          <w:p>
            <w:pPr>
              <w:framePr w:w="5962" w:wrap="notBeside" w:vAnchor="text" w:hAnchor="text" w:xAlign="right" w:y="1"/>
            </w:pPr>
          </w:p>
        </w:tc>
      </w:tr>
      <w:tr>
        <w:trPr>
          <w:trHeight w:val="250" w:hRule="exact"/>
        </w:trPr>
        <w:tc>
          <w:tcPr>
            <w:shd w:val="clear" w:color="auto" w:fill="FFFFFF"/>
            <w:vMerge/>
            <w:tcBorders>
              <w:left w:val="single" w:sz="4"/>
            </w:tcBorders>
            <w:vAlign w:val="top"/>
          </w:tcPr>
          <w:p>
            <w:pPr>
              <w:framePr w:w="5962" w:wrap="notBeside" w:vAnchor="text" w:hAnchor="text" w:xAlign="right" w:y="1"/>
            </w:pPr>
          </w:p>
        </w:tc>
        <w:tc>
          <w:tcPr>
            <w:shd w:val="clear" w:color="auto" w:fill="FFFFFF"/>
            <w:vMerge/>
            <w:tcBorders>
              <w:left w:val="single" w:sz="4"/>
            </w:tcBorders>
            <w:vAlign w:val="top"/>
          </w:tcPr>
          <w:p>
            <w:pPr>
              <w:framePr w:w="5962" w:wrap="notBeside" w:vAnchor="text" w:hAnchor="text" w:xAlign="right" w:y="1"/>
            </w:pPr>
          </w:p>
        </w:tc>
        <w:tc>
          <w:tcPr>
            <w:shd w:val="clear" w:color="auto" w:fill="FFFFFF"/>
            <w:tcBorders>
              <w:left w:val="single" w:sz="4"/>
              <w:right w:val="single" w:sz="4"/>
              <w:top w:val="single" w:sz="4"/>
            </w:tcBorders>
            <w:vAlign w:val="top"/>
          </w:tcPr>
          <w:p>
            <w:pPr>
              <w:framePr w:w="5962" w:wrap="notBeside" w:vAnchor="text" w:hAnchor="text" w:xAlign="right" w:y="1"/>
              <w:widowControl w:val="0"/>
              <w:rPr>
                <w:sz w:val="10"/>
                <w:szCs w:val="10"/>
              </w:rPr>
            </w:pPr>
          </w:p>
        </w:tc>
      </w:tr>
      <w:tr>
        <w:trPr>
          <w:trHeight w:val="509" w:hRule="exact"/>
        </w:trPr>
        <w:tc>
          <w:tcPr>
            <w:shd w:val="clear" w:color="auto" w:fill="FFFFFF"/>
            <w:tcBorders>
              <w:left w:val="single" w:sz="4"/>
              <w:top w:val="single" w:sz="4"/>
            </w:tcBorders>
            <w:vAlign w:val="bottom"/>
          </w:tcPr>
          <w:p>
            <w:pPr>
              <w:pStyle w:val="Style5"/>
              <w:framePr w:w="5962" w:wrap="notBeside" w:vAnchor="text" w:hAnchor="text" w:xAlign="right" w:y="1"/>
              <w:widowControl w:val="0"/>
              <w:keepNext w:val="0"/>
              <w:keepLines w:val="0"/>
              <w:shd w:val="clear" w:color="auto" w:fill="auto"/>
              <w:bidi w:val="0"/>
              <w:jc w:val="center"/>
              <w:spacing w:before="0" w:after="0" w:line="260" w:lineRule="exact"/>
              <w:ind w:left="0" w:right="0" w:firstLine="0"/>
            </w:pPr>
            <w:r>
              <w:rPr>
                <w:rStyle w:val="CharStyle7"/>
                <w:spacing w:val="0"/>
              </w:rPr>
              <w:t>20%</w:t>
            </w:r>
          </w:p>
        </w:tc>
        <w:tc>
          <w:tcPr>
            <w:shd w:val="clear" w:color="auto" w:fill="FFFFFF"/>
            <w:tcBorders>
              <w:left w:val="single" w:sz="4"/>
              <w:top w:val="single" w:sz="4"/>
            </w:tcBorders>
            <w:vAlign w:val="bottom"/>
          </w:tcPr>
          <w:p>
            <w:pPr>
              <w:pStyle w:val="Style5"/>
              <w:framePr w:w="5962" w:wrap="notBeside" w:vAnchor="text" w:hAnchor="text" w:xAlign="right" w:y="1"/>
              <w:widowControl w:val="0"/>
              <w:keepNext w:val="0"/>
              <w:keepLines w:val="0"/>
              <w:shd w:val="clear" w:color="auto" w:fill="auto"/>
              <w:bidi w:val="0"/>
              <w:jc w:val="right"/>
              <w:spacing w:before="0" w:after="0" w:line="260" w:lineRule="exact"/>
              <w:ind w:left="0" w:right="40" w:firstLine="0"/>
            </w:pPr>
            <w:r>
              <w:rPr>
                <w:rStyle w:val="CharStyle7"/>
                <w:spacing w:val="0"/>
              </w:rPr>
              <w:t>0,2 |</w:t>
            </w:r>
          </w:p>
        </w:tc>
        <w:tc>
          <w:tcPr>
            <w:shd w:val="clear" w:color="auto" w:fill="FFFFFF"/>
            <w:tcBorders>
              <w:left w:val="single" w:sz="4"/>
              <w:right w:val="single" w:sz="4"/>
              <w:top w:val="single" w:sz="4"/>
            </w:tcBorders>
            <w:vAlign w:val="center"/>
          </w:tcPr>
          <w:p>
            <w:pPr>
              <w:pStyle w:val="Style5"/>
              <w:framePr w:w="5962" w:wrap="notBeside" w:vAnchor="text" w:hAnchor="text" w:xAlign="right" w:y="1"/>
              <w:widowControl w:val="0"/>
              <w:keepNext w:val="0"/>
              <w:keepLines w:val="0"/>
              <w:shd w:val="clear" w:color="auto" w:fill="auto"/>
              <w:bidi w:val="0"/>
              <w:jc w:val="right"/>
              <w:spacing w:before="0" w:after="0" w:line="420" w:lineRule="exact"/>
              <w:ind w:left="0" w:right="40" w:firstLine="0"/>
            </w:pPr>
            <w:r>
              <w:rPr>
                <w:rStyle w:val="CharStyle7"/>
                <w:spacing w:val="0"/>
              </w:rPr>
              <w:t xml:space="preserve">12 </w:t>
            </w:r>
            <w:r>
              <w:rPr>
                <w:rStyle w:val="CharStyle18"/>
              </w:rPr>
              <w:t>|</w:t>
            </w:r>
          </w:p>
        </w:tc>
      </w:tr>
      <w:tr>
        <w:trPr>
          <w:trHeight w:val="403" w:hRule="exact"/>
        </w:trPr>
        <w:tc>
          <w:tcPr>
            <w:shd w:val="clear" w:color="auto" w:fill="FFFFFF"/>
            <w:tcBorders>
              <w:left w:val="single" w:sz="4"/>
              <w:top w:val="single" w:sz="4"/>
            </w:tcBorders>
            <w:vAlign w:val="top"/>
          </w:tcPr>
          <w:p>
            <w:pPr>
              <w:framePr w:w="5962" w:wrap="notBeside" w:vAnchor="text" w:hAnchor="text" w:xAlign="right" w:y="1"/>
              <w:widowControl w:val="0"/>
              <w:rPr>
                <w:sz w:val="10"/>
                <w:szCs w:val="10"/>
              </w:rPr>
            </w:pPr>
          </w:p>
        </w:tc>
        <w:tc>
          <w:tcPr>
            <w:shd w:val="clear" w:color="auto" w:fill="FFFFFF"/>
            <w:tcBorders>
              <w:left w:val="single" w:sz="4"/>
              <w:top w:val="single" w:sz="4"/>
            </w:tcBorders>
            <w:vAlign w:val="top"/>
          </w:tcPr>
          <w:p>
            <w:pPr>
              <w:framePr w:w="5962" w:wrap="notBeside" w:vAnchor="text" w:hAnchor="text" w:xAlign="right" w:y="1"/>
              <w:widowControl w:val="0"/>
              <w:rPr>
                <w:sz w:val="10"/>
                <w:szCs w:val="10"/>
              </w:rPr>
            </w:pPr>
          </w:p>
        </w:tc>
        <w:tc>
          <w:tcPr>
            <w:shd w:val="clear" w:color="auto" w:fill="FFFFFF"/>
            <w:tcBorders>
              <w:left w:val="single" w:sz="4"/>
              <w:right w:val="single" w:sz="4"/>
              <w:top w:val="single" w:sz="4"/>
            </w:tcBorders>
            <w:vAlign w:val="top"/>
          </w:tcPr>
          <w:p>
            <w:pPr>
              <w:framePr w:w="5962" w:wrap="notBeside" w:vAnchor="text" w:hAnchor="text" w:xAlign="right" w:y="1"/>
              <w:widowControl w:val="0"/>
              <w:rPr>
                <w:sz w:val="10"/>
                <w:szCs w:val="10"/>
              </w:rPr>
            </w:pPr>
          </w:p>
        </w:tc>
      </w:tr>
      <w:tr>
        <w:trPr>
          <w:trHeight w:val="672" w:hRule="exact"/>
        </w:trPr>
        <w:tc>
          <w:tcPr>
            <w:shd w:val="clear" w:color="auto" w:fill="FFFFFF"/>
            <w:tcBorders>
              <w:left w:val="single" w:sz="4"/>
              <w:top w:val="single" w:sz="4"/>
            </w:tcBorders>
            <w:vAlign w:val="bottom"/>
          </w:tcPr>
          <w:p>
            <w:pPr>
              <w:pStyle w:val="Style5"/>
              <w:framePr w:w="5962" w:wrap="notBeside" w:vAnchor="text" w:hAnchor="text" w:xAlign="right" w:y="1"/>
              <w:widowControl w:val="0"/>
              <w:keepNext w:val="0"/>
              <w:keepLines w:val="0"/>
              <w:shd w:val="clear" w:color="auto" w:fill="auto"/>
              <w:bidi w:val="0"/>
              <w:jc w:val="center"/>
              <w:spacing w:before="0" w:after="0" w:line="260" w:lineRule="exact"/>
              <w:ind w:left="0" w:right="0" w:firstLine="0"/>
            </w:pPr>
            <w:r>
              <w:rPr>
                <w:rStyle w:val="CharStyle7"/>
                <w:spacing w:val="0"/>
              </w:rPr>
              <w:t>20%</w:t>
            </w:r>
          </w:p>
        </w:tc>
        <w:tc>
          <w:tcPr>
            <w:shd w:val="clear" w:color="auto" w:fill="FFFFFF"/>
            <w:tcBorders>
              <w:left w:val="single" w:sz="4"/>
              <w:top w:val="single" w:sz="4"/>
            </w:tcBorders>
            <w:vAlign w:val="bottom"/>
          </w:tcPr>
          <w:p>
            <w:pPr>
              <w:pStyle w:val="Style5"/>
              <w:framePr w:w="5962" w:wrap="notBeside" w:vAnchor="text" w:hAnchor="text" w:xAlign="right" w:y="1"/>
              <w:widowControl w:val="0"/>
              <w:keepNext w:val="0"/>
              <w:keepLines w:val="0"/>
              <w:shd w:val="clear" w:color="auto" w:fill="auto"/>
              <w:bidi w:val="0"/>
              <w:jc w:val="right"/>
              <w:spacing w:before="0" w:after="0" w:line="260" w:lineRule="exact"/>
              <w:ind w:left="0" w:right="40" w:firstLine="0"/>
            </w:pPr>
            <w:r>
              <w:rPr>
                <w:rStyle w:val="CharStyle7"/>
                <w:spacing w:val="0"/>
              </w:rPr>
              <w:t>0,2 |</w:t>
            </w:r>
          </w:p>
        </w:tc>
        <w:tc>
          <w:tcPr>
            <w:shd w:val="clear" w:color="auto" w:fill="FFFFFF"/>
            <w:tcBorders>
              <w:left w:val="single" w:sz="4"/>
              <w:right w:val="single" w:sz="4"/>
              <w:top w:val="single" w:sz="4"/>
            </w:tcBorders>
            <w:vAlign w:val="bottom"/>
          </w:tcPr>
          <w:p>
            <w:pPr>
              <w:pStyle w:val="Style5"/>
              <w:framePr w:w="5962" w:wrap="notBeside" w:vAnchor="text" w:hAnchor="text" w:xAlign="right" w:y="1"/>
              <w:widowControl w:val="0"/>
              <w:keepNext w:val="0"/>
              <w:keepLines w:val="0"/>
              <w:shd w:val="clear" w:color="auto" w:fill="auto"/>
              <w:bidi w:val="0"/>
              <w:jc w:val="right"/>
              <w:spacing w:before="0" w:after="0" w:line="260" w:lineRule="exact"/>
              <w:ind w:left="0" w:right="40" w:firstLine="0"/>
            </w:pPr>
            <w:r>
              <w:rPr>
                <w:rStyle w:val="CharStyle7"/>
                <w:spacing w:val="0"/>
              </w:rPr>
              <w:t>2 1</w:t>
            </w:r>
          </w:p>
        </w:tc>
      </w:tr>
      <w:tr>
        <w:trPr>
          <w:trHeight w:val="562" w:hRule="exact"/>
        </w:trPr>
        <w:tc>
          <w:tcPr>
            <w:shd w:val="clear" w:color="auto" w:fill="FFFFFF"/>
            <w:tcBorders>
              <w:left w:val="single" w:sz="4"/>
              <w:top w:val="single" w:sz="4"/>
            </w:tcBorders>
            <w:vAlign w:val="top"/>
          </w:tcPr>
          <w:p>
            <w:pPr>
              <w:framePr w:w="5962" w:wrap="notBeside" w:vAnchor="text" w:hAnchor="text" w:xAlign="right" w:y="1"/>
              <w:widowControl w:val="0"/>
              <w:rPr>
                <w:sz w:val="10"/>
                <w:szCs w:val="10"/>
              </w:rPr>
            </w:pPr>
          </w:p>
        </w:tc>
        <w:tc>
          <w:tcPr>
            <w:shd w:val="clear" w:color="auto" w:fill="FFFFFF"/>
            <w:tcBorders>
              <w:left w:val="single" w:sz="4"/>
              <w:top w:val="single" w:sz="4"/>
            </w:tcBorders>
            <w:vAlign w:val="top"/>
          </w:tcPr>
          <w:p>
            <w:pPr>
              <w:framePr w:w="5962" w:wrap="notBeside" w:vAnchor="text" w:hAnchor="text" w:xAlign="right" w:y="1"/>
              <w:widowControl w:val="0"/>
              <w:rPr>
                <w:sz w:val="10"/>
                <w:szCs w:val="10"/>
              </w:rPr>
            </w:pPr>
          </w:p>
        </w:tc>
        <w:tc>
          <w:tcPr>
            <w:shd w:val="clear" w:color="auto" w:fill="FFFFFF"/>
            <w:tcBorders>
              <w:left w:val="single" w:sz="4"/>
              <w:right w:val="single" w:sz="4"/>
              <w:top w:val="single" w:sz="4"/>
            </w:tcBorders>
            <w:vAlign w:val="top"/>
          </w:tcPr>
          <w:p>
            <w:pPr>
              <w:framePr w:w="5962" w:wrap="notBeside" w:vAnchor="text" w:hAnchor="text" w:xAlign="right" w:y="1"/>
              <w:widowControl w:val="0"/>
              <w:rPr>
                <w:sz w:val="10"/>
                <w:szCs w:val="10"/>
              </w:rPr>
            </w:pPr>
          </w:p>
        </w:tc>
      </w:tr>
      <w:tr>
        <w:trPr>
          <w:trHeight w:val="672" w:hRule="exact"/>
        </w:trPr>
        <w:tc>
          <w:tcPr>
            <w:shd w:val="clear" w:color="auto" w:fill="FFFFFF"/>
            <w:tcBorders>
              <w:left w:val="single" w:sz="4"/>
              <w:top w:val="single" w:sz="4"/>
            </w:tcBorders>
            <w:vAlign w:val="bottom"/>
          </w:tcPr>
          <w:p>
            <w:pPr>
              <w:pStyle w:val="Style5"/>
              <w:framePr w:w="5962" w:wrap="notBeside" w:vAnchor="text" w:hAnchor="text" w:xAlign="right" w:y="1"/>
              <w:widowControl w:val="0"/>
              <w:keepNext w:val="0"/>
              <w:keepLines w:val="0"/>
              <w:shd w:val="clear" w:color="auto" w:fill="auto"/>
              <w:bidi w:val="0"/>
              <w:jc w:val="center"/>
              <w:spacing w:before="0" w:after="0" w:line="260" w:lineRule="exact"/>
              <w:ind w:left="0" w:right="0" w:firstLine="0"/>
            </w:pPr>
            <w:r>
              <w:rPr>
                <w:rStyle w:val="CharStyle7"/>
                <w:spacing w:val="0"/>
              </w:rPr>
              <w:t>20%</w:t>
            </w:r>
          </w:p>
        </w:tc>
        <w:tc>
          <w:tcPr>
            <w:shd w:val="clear" w:color="auto" w:fill="FFFFFF"/>
            <w:tcBorders>
              <w:left w:val="single" w:sz="4"/>
              <w:top w:val="single" w:sz="4"/>
            </w:tcBorders>
            <w:vAlign w:val="bottom"/>
          </w:tcPr>
          <w:p>
            <w:pPr>
              <w:pStyle w:val="Style5"/>
              <w:framePr w:w="5962" w:wrap="notBeside" w:vAnchor="text" w:hAnchor="text" w:xAlign="right" w:y="1"/>
              <w:widowControl w:val="0"/>
              <w:keepNext w:val="0"/>
              <w:keepLines w:val="0"/>
              <w:shd w:val="clear" w:color="auto" w:fill="auto"/>
              <w:bidi w:val="0"/>
              <w:jc w:val="right"/>
              <w:spacing w:before="0" w:after="0" w:line="260" w:lineRule="exact"/>
              <w:ind w:left="0" w:right="40" w:firstLine="0"/>
            </w:pPr>
            <w:r>
              <w:rPr>
                <w:rStyle w:val="CharStyle7"/>
                <w:spacing w:val="0"/>
              </w:rPr>
              <w:t>0,2 |</w:t>
            </w:r>
          </w:p>
        </w:tc>
        <w:tc>
          <w:tcPr>
            <w:shd w:val="clear" w:color="auto" w:fill="FFFFFF"/>
            <w:tcBorders>
              <w:left w:val="single" w:sz="4"/>
              <w:right w:val="single" w:sz="4"/>
              <w:top w:val="single" w:sz="4"/>
            </w:tcBorders>
            <w:vAlign w:val="bottom"/>
          </w:tcPr>
          <w:p>
            <w:pPr>
              <w:pStyle w:val="Style5"/>
              <w:framePr w:w="5962" w:wrap="notBeside" w:vAnchor="text" w:hAnchor="text" w:xAlign="right" w:y="1"/>
              <w:widowControl w:val="0"/>
              <w:keepNext w:val="0"/>
              <w:keepLines w:val="0"/>
              <w:shd w:val="clear" w:color="auto" w:fill="auto"/>
              <w:bidi w:val="0"/>
              <w:jc w:val="right"/>
              <w:spacing w:before="0" w:after="0" w:line="260" w:lineRule="exact"/>
              <w:ind w:left="0" w:right="40" w:firstLine="0"/>
            </w:pPr>
            <w:r>
              <w:rPr>
                <w:rStyle w:val="CharStyle7"/>
                <w:spacing w:val="0"/>
              </w:rPr>
              <w:t>24 |</w:t>
            </w:r>
          </w:p>
        </w:tc>
      </w:tr>
      <w:tr>
        <w:trPr>
          <w:trHeight w:val="566" w:hRule="exact"/>
        </w:trPr>
        <w:tc>
          <w:tcPr>
            <w:shd w:val="clear" w:color="auto" w:fill="FFFFFF"/>
            <w:tcBorders>
              <w:left w:val="single" w:sz="4"/>
              <w:top w:val="single" w:sz="4"/>
            </w:tcBorders>
            <w:vAlign w:val="top"/>
          </w:tcPr>
          <w:p>
            <w:pPr>
              <w:framePr w:w="5962" w:wrap="notBeside" w:vAnchor="text" w:hAnchor="text" w:xAlign="right" w:y="1"/>
              <w:widowControl w:val="0"/>
              <w:rPr>
                <w:sz w:val="10"/>
                <w:szCs w:val="10"/>
              </w:rPr>
            </w:pPr>
          </w:p>
        </w:tc>
        <w:tc>
          <w:tcPr>
            <w:shd w:val="clear" w:color="auto" w:fill="FFFFFF"/>
            <w:tcBorders>
              <w:left w:val="single" w:sz="4"/>
              <w:top w:val="single" w:sz="4"/>
            </w:tcBorders>
            <w:vAlign w:val="top"/>
          </w:tcPr>
          <w:p>
            <w:pPr>
              <w:framePr w:w="5962" w:wrap="notBeside" w:vAnchor="text" w:hAnchor="text" w:xAlign="right" w:y="1"/>
              <w:widowControl w:val="0"/>
              <w:rPr>
                <w:sz w:val="10"/>
                <w:szCs w:val="10"/>
              </w:rPr>
            </w:pPr>
          </w:p>
        </w:tc>
        <w:tc>
          <w:tcPr>
            <w:shd w:val="clear" w:color="auto" w:fill="FFFFFF"/>
            <w:tcBorders>
              <w:left w:val="single" w:sz="4"/>
              <w:right w:val="single" w:sz="4"/>
              <w:top w:val="single" w:sz="4"/>
            </w:tcBorders>
            <w:vAlign w:val="top"/>
          </w:tcPr>
          <w:p>
            <w:pPr>
              <w:framePr w:w="5962" w:wrap="notBeside" w:vAnchor="text" w:hAnchor="text" w:xAlign="right" w:y="1"/>
              <w:widowControl w:val="0"/>
              <w:rPr>
                <w:sz w:val="10"/>
                <w:szCs w:val="10"/>
              </w:rPr>
            </w:pPr>
          </w:p>
        </w:tc>
      </w:tr>
      <w:tr>
        <w:trPr>
          <w:trHeight w:val="350" w:hRule="exact"/>
        </w:trPr>
        <w:tc>
          <w:tcPr>
            <w:shd w:val="clear" w:color="auto" w:fill="FFFFFF"/>
            <w:tcBorders>
              <w:left w:val="single" w:sz="4"/>
              <w:top w:val="single" w:sz="4"/>
            </w:tcBorders>
            <w:vAlign w:val="center"/>
          </w:tcPr>
          <w:p>
            <w:pPr>
              <w:pStyle w:val="Style5"/>
              <w:framePr w:w="5962" w:wrap="notBeside" w:vAnchor="text" w:hAnchor="text" w:xAlign="right" w:y="1"/>
              <w:widowControl w:val="0"/>
              <w:keepNext w:val="0"/>
              <w:keepLines w:val="0"/>
              <w:shd w:val="clear" w:color="auto" w:fill="auto"/>
              <w:bidi w:val="0"/>
              <w:jc w:val="center"/>
              <w:spacing w:before="0" w:after="0" w:line="260" w:lineRule="exact"/>
              <w:ind w:left="0" w:right="0" w:firstLine="0"/>
            </w:pPr>
            <w:r>
              <w:rPr>
                <w:rStyle w:val="CharStyle7"/>
                <w:spacing w:val="0"/>
              </w:rPr>
              <w:t>10%</w:t>
            </w:r>
          </w:p>
        </w:tc>
        <w:tc>
          <w:tcPr>
            <w:shd w:val="clear" w:color="auto" w:fill="FFFFFF"/>
            <w:tcBorders>
              <w:left w:val="single" w:sz="4"/>
              <w:top w:val="single" w:sz="4"/>
            </w:tcBorders>
            <w:vAlign w:val="bottom"/>
          </w:tcPr>
          <w:p>
            <w:pPr>
              <w:pStyle w:val="Style5"/>
              <w:framePr w:w="5962" w:wrap="notBeside" w:vAnchor="text" w:hAnchor="text" w:xAlign="right" w:y="1"/>
              <w:widowControl w:val="0"/>
              <w:keepNext w:val="0"/>
              <w:keepLines w:val="0"/>
              <w:shd w:val="clear" w:color="auto" w:fill="auto"/>
              <w:bidi w:val="0"/>
              <w:jc w:val="center"/>
              <w:spacing w:before="0" w:after="0" w:line="260" w:lineRule="exact"/>
              <w:ind w:left="0" w:right="0" w:firstLine="0"/>
            </w:pPr>
            <w:r>
              <w:rPr>
                <w:rStyle w:val="CharStyle7"/>
                <w:spacing w:val="0"/>
              </w:rPr>
              <w:t>0,1</w:t>
            </w:r>
          </w:p>
        </w:tc>
        <w:tc>
          <w:tcPr>
            <w:shd w:val="clear" w:color="auto" w:fill="FFFFFF"/>
            <w:tcBorders>
              <w:left w:val="single" w:sz="4"/>
              <w:right w:val="single" w:sz="4"/>
              <w:top w:val="single" w:sz="4"/>
            </w:tcBorders>
            <w:vAlign w:val="bottom"/>
          </w:tcPr>
          <w:p>
            <w:pPr>
              <w:pStyle w:val="Style5"/>
              <w:framePr w:w="5962" w:wrap="notBeside" w:vAnchor="text" w:hAnchor="text" w:xAlign="right" w:y="1"/>
              <w:widowControl w:val="0"/>
              <w:keepNext w:val="0"/>
              <w:keepLines w:val="0"/>
              <w:shd w:val="clear" w:color="auto" w:fill="auto"/>
              <w:bidi w:val="0"/>
              <w:jc w:val="center"/>
              <w:spacing w:before="0" w:after="0" w:line="260" w:lineRule="exact"/>
              <w:ind w:left="0" w:right="0" w:firstLine="0"/>
            </w:pPr>
            <w:r>
              <w:rPr>
                <w:rStyle w:val="CharStyle7"/>
                <w:spacing w:val="0"/>
              </w:rPr>
              <w:t>2</w:t>
            </w:r>
          </w:p>
        </w:tc>
      </w:tr>
      <w:tr>
        <w:trPr>
          <w:trHeight w:val="576" w:hRule="exact"/>
        </w:trPr>
        <w:tc>
          <w:tcPr>
            <w:shd w:val="clear" w:color="auto" w:fill="FFFFFF"/>
            <w:tcBorders>
              <w:left w:val="single" w:sz="4"/>
              <w:top w:val="single" w:sz="4"/>
              <w:bottom w:val="single" w:sz="4"/>
            </w:tcBorders>
            <w:vAlign w:val="top"/>
          </w:tcPr>
          <w:p>
            <w:pPr>
              <w:framePr w:w="5962" w:wrap="notBeside" w:vAnchor="text" w:hAnchor="text" w:xAlign="right" w:y="1"/>
              <w:widowControl w:val="0"/>
              <w:rPr>
                <w:sz w:val="10"/>
                <w:szCs w:val="10"/>
              </w:rPr>
            </w:pPr>
          </w:p>
        </w:tc>
        <w:tc>
          <w:tcPr>
            <w:shd w:val="clear" w:color="auto" w:fill="FFFFFF"/>
            <w:tcBorders>
              <w:left w:val="single" w:sz="4"/>
              <w:top w:val="single" w:sz="4"/>
              <w:bottom w:val="single" w:sz="4"/>
            </w:tcBorders>
            <w:vAlign w:val="top"/>
          </w:tcPr>
          <w:p>
            <w:pPr>
              <w:framePr w:w="5962" w:wrap="notBeside" w:vAnchor="text" w:hAnchor="text" w:xAlign="right" w:y="1"/>
              <w:widowControl w:val="0"/>
              <w:rPr>
                <w:sz w:val="10"/>
                <w:szCs w:val="10"/>
              </w:rPr>
            </w:pPr>
          </w:p>
        </w:tc>
        <w:tc>
          <w:tcPr>
            <w:shd w:val="clear" w:color="auto" w:fill="FFFFFF"/>
            <w:tcBorders>
              <w:left w:val="single" w:sz="4"/>
              <w:right w:val="single" w:sz="4"/>
              <w:top w:val="single" w:sz="4"/>
              <w:bottom w:val="single" w:sz="4"/>
            </w:tcBorders>
            <w:vAlign w:val="top"/>
          </w:tcPr>
          <w:p>
            <w:pPr>
              <w:framePr w:w="5962" w:wrap="notBeside" w:vAnchor="text" w:hAnchor="text" w:xAlign="right" w:y="1"/>
              <w:widowControl w:val="0"/>
              <w:rPr>
                <w:sz w:val="10"/>
                <w:szCs w:val="10"/>
              </w:rPr>
            </w:pPr>
          </w:p>
        </w:tc>
      </w:tr>
    </w:tbl>
    <w:p>
      <w:pPr>
        <w:widowControl w:val="0"/>
        <w:rPr>
          <w:sz w:val="2"/>
          <w:szCs w:val="2"/>
        </w:rPr>
      </w:pPr>
      <w:r>
        <w:br w:type="page"/>
      </w:r>
    </w:p>
    <w:p>
      <w:pPr>
        <w:widowControl w:val="0"/>
      </w:pPr>
      <w:r>
        <w:br w:type="page"/>
      </w:r>
    </w:p>
    <w:tbl>
      <w:tblPr>
        <w:tblOverlap w:val="never"/>
        <w:tblLayout w:type="fixed"/>
        <w:jc w:val="center"/>
      </w:tblPr>
      <w:tblGrid>
        <w:gridCol w:w="1176"/>
        <w:gridCol w:w="3082"/>
        <w:gridCol w:w="2050"/>
        <w:gridCol w:w="2088"/>
        <w:gridCol w:w="1834"/>
      </w:tblGrid>
      <w:tr>
        <w:trPr>
          <w:trHeight w:val="360" w:hRule="exact"/>
        </w:trPr>
        <w:tc>
          <w:tcPr>
            <w:shd w:val="clear" w:color="auto" w:fill="FFFFFF"/>
            <w:vMerge w:val="restart"/>
            <w:tcBorders>
              <w:left w:val="single" w:sz="4"/>
              <w:top w:val="single" w:sz="4"/>
            </w:tcBorders>
            <w:vAlign w:val="top"/>
          </w:tcPr>
          <w:p>
            <w:pPr>
              <w:framePr w:w="1022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229" w:wrap="notBeside" w:vAnchor="text" w:hAnchor="text" w:xAlign="center" w:y="1"/>
              <w:widowControl w:val="0"/>
              <w:keepNext w:val="0"/>
              <w:keepLines w:val="0"/>
              <w:shd w:val="clear" w:color="auto" w:fill="auto"/>
              <w:bidi w:val="0"/>
              <w:jc w:val="both"/>
              <w:spacing w:before="0" w:after="0" w:line="260" w:lineRule="exact"/>
              <w:ind w:left="0" w:right="0" w:firstLine="0"/>
            </w:pPr>
            <w:r>
              <w:rPr>
                <w:rStyle w:val="CharStyle7"/>
                <w:spacing w:val="0"/>
              </w:rPr>
              <w:t>товароведов/кладовщиков</w:t>
            </w:r>
          </w:p>
        </w:tc>
        <w:tc>
          <w:tcPr>
            <w:shd w:val="clear" w:color="auto" w:fill="FFFFFF"/>
            <w:vMerge w:val="restart"/>
            <w:tcBorders>
              <w:left w:val="single" w:sz="4"/>
              <w:top w:val="single" w:sz="4"/>
            </w:tcBorders>
            <w:vAlign w:val="top"/>
          </w:tcPr>
          <w:p>
            <w:pPr>
              <w:framePr w:w="10229"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29" w:wrap="notBeside" w:vAnchor="text" w:hAnchor="text" w:xAlign="center" w:y="1"/>
              <w:widowControl w:val="0"/>
              <w:rPr>
                <w:sz w:val="10"/>
                <w:szCs w:val="10"/>
              </w:rPr>
            </w:pPr>
          </w:p>
        </w:tc>
        <w:tc>
          <w:tcPr>
            <w:shd w:val="clear" w:color="auto" w:fill="FFFFFF"/>
            <w:vMerge w:val="restart"/>
            <w:tcBorders>
              <w:left w:val="single" w:sz="4"/>
              <w:right w:val="single" w:sz="4"/>
              <w:top w:val="single" w:sz="4"/>
            </w:tcBorders>
            <w:vAlign w:val="top"/>
          </w:tcPr>
          <w:p>
            <w:pPr>
              <w:framePr w:w="10229" w:wrap="notBeside" w:vAnchor="text" w:hAnchor="text" w:xAlign="center" w:y="1"/>
              <w:widowControl w:val="0"/>
              <w:rPr>
                <w:sz w:val="10"/>
                <w:szCs w:val="10"/>
              </w:rPr>
            </w:pPr>
          </w:p>
        </w:tc>
      </w:tr>
      <w:tr>
        <w:trPr>
          <w:trHeight w:val="250" w:hRule="exact"/>
        </w:trPr>
        <w:tc>
          <w:tcPr>
            <w:shd w:val="clear" w:color="auto" w:fill="FFFFFF"/>
            <w:vMerge/>
            <w:tcBorders>
              <w:left w:val="single" w:sz="4"/>
            </w:tcBorders>
            <w:vAlign w:val="top"/>
          </w:tcPr>
          <w:p>
            <w:pPr>
              <w:framePr w:w="10229" w:wrap="notBeside" w:vAnchor="text" w:hAnchor="text" w:xAlign="center" w:y="1"/>
            </w:pPr>
          </w:p>
        </w:tc>
        <w:tc>
          <w:tcPr>
            <w:shd w:val="clear" w:color="auto" w:fill="FFFFFF"/>
            <w:tcBorders>
              <w:left w:val="single" w:sz="4"/>
              <w:top w:val="single" w:sz="4"/>
            </w:tcBorders>
            <w:vAlign w:val="top"/>
          </w:tcPr>
          <w:p>
            <w:pPr>
              <w:framePr w:w="10229" w:wrap="notBeside" w:vAnchor="text" w:hAnchor="text" w:xAlign="center" w:y="1"/>
              <w:widowControl w:val="0"/>
              <w:rPr>
                <w:sz w:val="10"/>
                <w:szCs w:val="10"/>
              </w:rPr>
            </w:pPr>
          </w:p>
        </w:tc>
        <w:tc>
          <w:tcPr>
            <w:shd w:val="clear" w:color="auto" w:fill="FFFFFF"/>
            <w:vMerge/>
            <w:tcBorders>
              <w:left w:val="single" w:sz="4"/>
            </w:tcBorders>
            <w:vAlign w:val="top"/>
          </w:tcPr>
          <w:p>
            <w:pPr>
              <w:framePr w:w="10229" w:wrap="notBeside" w:vAnchor="text" w:hAnchor="text" w:xAlign="center" w:y="1"/>
            </w:pPr>
          </w:p>
        </w:tc>
        <w:tc>
          <w:tcPr>
            <w:shd w:val="clear" w:color="auto" w:fill="FFFFFF"/>
            <w:vMerge/>
            <w:tcBorders>
              <w:left w:val="single" w:sz="4"/>
            </w:tcBorders>
            <w:vAlign w:val="top"/>
          </w:tcPr>
          <w:p>
            <w:pPr>
              <w:framePr w:w="10229" w:wrap="notBeside" w:vAnchor="text" w:hAnchor="text" w:xAlign="center" w:y="1"/>
            </w:pPr>
          </w:p>
        </w:tc>
        <w:tc>
          <w:tcPr>
            <w:shd w:val="clear" w:color="auto" w:fill="FFFFFF"/>
            <w:vMerge/>
            <w:tcBorders>
              <w:left w:val="single" w:sz="4"/>
              <w:right w:val="single" w:sz="4"/>
            </w:tcBorders>
            <w:vAlign w:val="top"/>
          </w:tcPr>
          <w:p>
            <w:pPr>
              <w:framePr w:w="10229" w:wrap="notBeside" w:vAnchor="text" w:hAnchor="text" w:xAlign="center" w:y="1"/>
            </w:pPr>
          </w:p>
        </w:tc>
      </w:tr>
      <w:tr>
        <w:trPr>
          <w:trHeight w:val="667" w:hRule="exact"/>
        </w:trPr>
        <w:tc>
          <w:tcPr>
            <w:shd w:val="clear" w:color="auto" w:fill="FFFFFF"/>
            <w:tcBorders>
              <w:left w:val="single" w:sz="4"/>
              <w:top w:val="single" w:sz="4"/>
            </w:tcBorders>
            <w:vAlign w:val="top"/>
          </w:tcPr>
          <w:p>
            <w:pPr>
              <w:pStyle w:val="Style5"/>
              <w:framePr w:w="10229" w:wrap="notBeside" w:vAnchor="text" w:hAnchor="text" w:xAlign="center" w:y="1"/>
              <w:widowControl w:val="0"/>
              <w:keepNext w:val="0"/>
              <w:keepLines w:val="0"/>
              <w:shd w:val="clear" w:color="auto" w:fill="auto"/>
              <w:bidi w:val="0"/>
              <w:jc w:val="left"/>
              <w:spacing w:before="0" w:after="0" w:line="260" w:lineRule="exact"/>
              <w:ind w:left="100" w:right="0" w:firstLine="0"/>
            </w:pPr>
            <w:r>
              <w:rPr>
                <w:rStyle w:val="CharStyle7"/>
                <w:spacing w:val="0"/>
              </w:rPr>
              <w:t>5.</w:t>
            </w:r>
          </w:p>
        </w:tc>
        <w:tc>
          <w:tcPr>
            <w:shd w:val="clear" w:color="auto" w:fill="FFFFFF"/>
            <w:vMerge w:val="restart"/>
            <w:tcBorders>
              <w:left w:val="single" w:sz="4"/>
              <w:top w:val="single" w:sz="4"/>
            </w:tcBorders>
            <w:vAlign w:val="bottom"/>
          </w:tcPr>
          <w:p>
            <w:pPr>
              <w:pStyle w:val="Style5"/>
              <w:framePr w:w="10229" w:wrap="notBeside" w:vAnchor="text" w:hAnchor="text" w:xAlign="center" w:y="1"/>
              <w:widowControl w:val="0"/>
              <w:keepNext w:val="0"/>
              <w:keepLines w:val="0"/>
              <w:shd w:val="clear" w:color="auto" w:fill="auto"/>
              <w:bidi w:val="0"/>
              <w:jc w:val="both"/>
              <w:spacing w:before="0" w:after="0" w:line="317" w:lineRule="exact"/>
              <w:ind w:left="0" w:right="0" w:firstLine="0"/>
            </w:pPr>
            <w:r>
              <w:rPr>
                <w:rStyle w:val="CharStyle7"/>
                <w:spacing w:val="0"/>
              </w:rPr>
              <w:t>Наличие в организации участника конкурса технолога</w:t>
            </w:r>
          </w:p>
        </w:tc>
        <w:tc>
          <w:tcPr>
            <w:shd w:val="clear" w:color="auto" w:fill="FFFFFF"/>
            <w:tcBorders>
              <w:left w:val="single" w:sz="4"/>
              <w:top w:val="single" w:sz="4"/>
            </w:tcBorders>
            <w:vAlign w:val="bottom"/>
          </w:tcPr>
          <w:p>
            <w:pPr>
              <w:pStyle w:val="Style5"/>
              <w:framePr w:w="10229" w:wrap="notBeside" w:vAnchor="text" w:hAnchor="text" w:xAlign="center" w:y="1"/>
              <w:widowControl w:val="0"/>
              <w:keepNext w:val="0"/>
              <w:keepLines w:val="0"/>
              <w:shd w:val="clear" w:color="auto" w:fill="auto"/>
              <w:bidi w:val="0"/>
              <w:jc w:val="right"/>
              <w:spacing w:before="0" w:after="0" w:line="260" w:lineRule="exact"/>
              <w:ind w:left="0" w:right="20" w:firstLine="0"/>
            </w:pPr>
            <w:r>
              <w:rPr>
                <w:rStyle w:val="CharStyle7"/>
                <w:spacing w:val="0"/>
              </w:rPr>
              <w:t>10% |</w:t>
            </w:r>
          </w:p>
        </w:tc>
        <w:tc>
          <w:tcPr>
            <w:shd w:val="clear" w:color="auto" w:fill="FFFFFF"/>
            <w:tcBorders>
              <w:left w:val="single" w:sz="4"/>
              <w:top w:val="single" w:sz="4"/>
            </w:tcBorders>
            <w:vAlign w:val="bottom"/>
          </w:tcPr>
          <w:p>
            <w:pPr>
              <w:pStyle w:val="Style5"/>
              <w:framePr w:w="10229" w:wrap="notBeside" w:vAnchor="text" w:hAnchor="text" w:xAlign="center" w:y="1"/>
              <w:widowControl w:val="0"/>
              <w:keepNext w:val="0"/>
              <w:keepLines w:val="0"/>
              <w:shd w:val="clear" w:color="auto" w:fill="auto"/>
              <w:bidi w:val="0"/>
              <w:jc w:val="right"/>
              <w:spacing w:before="0" w:after="0" w:line="260" w:lineRule="exact"/>
              <w:ind w:left="0" w:right="20" w:firstLine="0"/>
            </w:pPr>
            <w:r>
              <w:rPr>
                <w:rStyle w:val="CharStyle7"/>
                <w:spacing w:val="0"/>
              </w:rPr>
              <w:t>0,1 1</w:t>
            </w:r>
          </w:p>
        </w:tc>
        <w:tc>
          <w:tcPr>
            <w:shd w:val="clear" w:color="auto" w:fill="FFFFFF"/>
            <w:tcBorders>
              <w:left w:val="single" w:sz="4"/>
              <w:right w:val="single" w:sz="4"/>
              <w:top w:val="single" w:sz="4"/>
            </w:tcBorders>
            <w:vAlign w:val="bottom"/>
          </w:tcPr>
          <w:p>
            <w:pPr>
              <w:pStyle w:val="Style5"/>
              <w:framePr w:w="10229" w:wrap="notBeside" w:vAnchor="text" w:hAnchor="text" w:xAlign="center" w:y="1"/>
              <w:widowControl w:val="0"/>
              <w:keepNext w:val="0"/>
              <w:keepLines w:val="0"/>
              <w:shd w:val="clear" w:color="auto" w:fill="auto"/>
              <w:bidi w:val="0"/>
              <w:jc w:val="right"/>
              <w:spacing w:before="0" w:after="0" w:line="260" w:lineRule="exact"/>
              <w:ind w:left="0" w:right="40" w:firstLine="0"/>
            </w:pPr>
            <w:r>
              <w:rPr>
                <w:rStyle w:val="CharStyle7"/>
                <w:spacing w:val="0"/>
              </w:rPr>
              <w:t>1 |</w:t>
            </w:r>
          </w:p>
        </w:tc>
      </w:tr>
      <w:tr>
        <w:trPr>
          <w:trHeight w:val="317" w:hRule="exact"/>
        </w:trPr>
        <w:tc>
          <w:tcPr>
            <w:shd w:val="clear" w:color="auto" w:fill="FFFFFF"/>
            <w:vMerge w:val="restart"/>
            <w:tcBorders>
              <w:left w:val="single" w:sz="4"/>
              <w:top w:val="single" w:sz="4"/>
            </w:tcBorders>
            <w:vAlign w:val="top"/>
          </w:tcPr>
          <w:p>
            <w:pPr>
              <w:framePr w:w="10229" w:wrap="notBeside" w:vAnchor="text" w:hAnchor="text" w:xAlign="center" w:y="1"/>
              <w:widowControl w:val="0"/>
              <w:rPr>
                <w:sz w:val="10"/>
                <w:szCs w:val="10"/>
              </w:rPr>
            </w:pPr>
          </w:p>
        </w:tc>
        <w:tc>
          <w:tcPr>
            <w:shd w:val="clear" w:color="auto" w:fill="FFFFFF"/>
            <w:vMerge/>
            <w:tcBorders>
              <w:left w:val="single" w:sz="4"/>
            </w:tcBorders>
            <w:vAlign w:val="bottom"/>
          </w:tcPr>
          <w:p>
            <w:pPr>
              <w:framePr w:w="10229" w:wrap="notBeside" w:vAnchor="text" w:hAnchor="text" w:xAlign="center" w:y="1"/>
            </w:pPr>
          </w:p>
        </w:tc>
        <w:tc>
          <w:tcPr>
            <w:shd w:val="clear" w:color="auto" w:fill="FFFFFF"/>
            <w:vMerge w:val="restart"/>
            <w:tcBorders>
              <w:left w:val="single" w:sz="4"/>
              <w:top w:val="single" w:sz="4"/>
            </w:tcBorders>
            <w:vAlign w:val="top"/>
          </w:tcPr>
          <w:p>
            <w:pPr>
              <w:framePr w:w="10229"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29" w:wrap="notBeside" w:vAnchor="text" w:hAnchor="text" w:xAlign="center" w:y="1"/>
              <w:widowControl w:val="0"/>
              <w:rPr>
                <w:sz w:val="10"/>
                <w:szCs w:val="10"/>
              </w:rPr>
            </w:pPr>
          </w:p>
        </w:tc>
        <w:tc>
          <w:tcPr>
            <w:shd w:val="clear" w:color="auto" w:fill="FFFFFF"/>
            <w:vMerge w:val="restart"/>
            <w:tcBorders>
              <w:left w:val="single" w:sz="4"/>
              <w:right w:val="single" w:sz="4"/>
              <w:top w:val="single" w:sz="4"/>
            </w:tcBorders>
            <w:vAlign w:val="top"/>
          </w:tcPr>
          <w:p>
            <w:pPr>
              <w:framePr w:w="10229" w:wrap="notBeside" w:vAnchor="text" w:hAnchor="text" w:xAlign="center" w:y="1"/>
              <w:widowControl w:val="0"/>
              <w:rPr>
                <w:sz w:val="10"/>
                <w:szCs w:val="10"/>
              </w:rPr>
            </w:pPr>
          </w:p>
        </w:tc>
      </w:tr>
      <w:tr>
        <w:trPr>
          <w:trHeight w:val="250" w:hRule="exact"/>
        </w:trPr>
        <w:tc>
          <w:tcPr>
            <w:shd w:val="clear" w:color="auto" w:fill="FFFFFF"/>
            <w:vMerge/>
            <w:tcBorders>
              <w:left w:val="single" w:sz="4"/>
            </w:tcBorders>
            <w:vAlign w:val="top"/>
          </w:tcPr>
          <w:p>
            <w:pPr>
              <w:framePr w:w="10229" w:wrap="notBeside" w:vAnchor="text" w:hAnchor="text" w:xAlign="center" w:y="1"/>
            </w:pPr>
          </w:p>
        </w:tc>
        <w:tc>
          <w:tcPr>
            <w:shd w:val="clear" w:color="auto" w:fill="FFFFFF"/>
            <w:tcBorders>
              <w:left w:val="single" w:sz="4"/>
              <w:top w:val="single" w:sz="4"/>
            </w:tcBorders>
            <w:vAlign w:val="top"/>
          </w:tcPr>
          <w:p>
            <w:pPr>
              <w:framePr w:w="10229" w:wrap="notBeside" w:vAnchor="text" w:hAnchor="text" w:xAlign="center" w:y="1"/>
              <w:widowControl w:val="0"/>
              <w:rPr>
                <w:sz w:val="10"/>
                <w:szCs w:val="10"/>
              </w:rPr>
            </w:pPr>
          </w:p>
        </w:tc>
        <w:tc>
          <w:tcPr>
            <w:shd w:val="clear" w:color="auto" w:fill="FFFFFF"/>
            <w:vMerge/>
            <w:tcBorders>
              <w:left w:val="single" w:sz="4"/>
            </w:tcBorders>
            <w:vAlign w:val="top"/>
          </w:tcPr>
          <w:p>
            <w:pPr>
              <w:framePr w:w="10229" w:wrap="notBeside" w:vAnchor="text" w:hAnchor="text" w:xAlign="center" w:y="1"/>
            </w:pPr>
          </w:p>
        </w:tc>
        <w:tc>
          <w:tcPr>
            <w:shd w:val="clear" w:color="auto" w:fill="FFFFFF"/>
            <w:vMerge/>
            <w:tcBorders>
              <w:left w:val="single" w:sz="4"/>
            </w:tcBorders>
            <w:vAlign w:val="top"/>
          </w:tcPr>
          <w:p>
            <w:pPr>
              <w:framePr w:w="10229" w:wrap="notBeside" w:vAnchor="text" w:hAnchor="text" w:xAlign="center" w:y="1"/>
            </w:pPr>
          </w:p>
        </w:tc>
        <w:tc>
          <w:tcPr>
            <w:shd w:val="clear" w:color="auto" w:fill="FFFFFF"/>
            <w:vMerge/>
            <w:tcBorders>
              <w:left w:val="single" w:sz="4"/>
              <w:right w:val="single" w:sz="4"/>
            </w:tcBorders>
            <w:vAlign w:val="top"/>
          </w:tcPr>
          <w:p>
            <w:pPr>
              <w:framePr w:w="10229" w:wrap="notBeside" w:vAnchor="text" w:hAnchor="text" w:xAlign="center" w:y="1"/>
            </w:pPr>
          </w:p>
        </w:tc>
      </w:tr>
      <w:tr>
        <w:trPr>
          <w:trHeight w:val="667" w:hRule="exact"/>
        </w:trPr>
        <w:tc>
          <w:tcPr>
            <w:shd w:val="clear" w:color="auto" w:fill="FFFFFF"/>
            <w:tcBorders>
              <w:left w:val="single" w:sz="4"/>
              <w:top w:val="single" w:sz="4"/>
            </w:tcBorders>
            <w:vAlign w:val="center"/>
          </w:tcPr>
          <w:p>
            <w:pPr>
              <w:pStyle w:val="Style5"/>
              <w:framePr w:w="10229" w:wrap="notBeside" w:vAnchor="text" w:hAnchor="text" w:xAlign="center" w:y="1"/>
              <w:widowControl w:val="0"/>
              <w:keepNext w:val="0"/>
              <w:keepLines w:val="0"/>
              <w:shd w:val="clear" w:color="auto" w:fill="auto"/>
              <w:bidi w:val="0"/>
              <w:jc w:val="left"/>
              <w:spacing w:before="0" w:after="0" w:line="260" w:lineRule="exact"/>
              <w:ind w:left="100" w:right="0" w:firstLine="0"/>
            </w:pPr>
            <w:r>
              <w:rPr>
                <w:rStyle w:val="CharStyle7"/>
                <w:spacing w:val="0"/>
              </w:rPr>
              <w:t>6.</w:t>
            </w:r>
          </w:p>
        </w:tc>
        <w:tc>
          <w:tcPr>
            <w:shd w:val="clear" w:color="auto" w:fill="FFFFFF"/>
            <w:vMerge w:val="restart"/>
            <w:tcBorders>
              <w:left w:val="single" w:sz="4"/>
              <w:top w:val="single" w:sz="4"/>
            </w:tcBorders>
            <w:vAlign w:val="bottom"/>
          </w:tcPr>
          <w:p>
            <w:pPr>
              <w:pStyle w:val="Style5"/>
              <w:framePr w:w="10229" w:wrap="notBeside" w:vAnchor="text" w:hAnchor="text" w:xAlign="center" w:y="1"/>
              <w:widowControl w:val="0"/>
              <w:keepNext w:val="0"/>
              <w:keepLines w:val="0"/>
              <w:shd w:val="clear" w:color="auto" w:fill="auto"/>
              <w:bidi w:val="0"/>
              <w:jc w:val="both"/>
              <w:spacing w:before="0" w:after="0" w:line="317" w:lineRule="exact"/>
              <w:ind w:left="0" w:right="0" w:firstLine="0"/>
            </w:pPr>
            <w:r>
              <w:rPr>
                <w:rStyle w:val="CharStyle7"/>
                <w:spacing w:val="0"/>
              </w:rPr>
              <w:t>Наличие в организации участника конкурса водителей, водителей- экспедиторов</w:t>
            </w:r>
          </w:p>
        </w:tc>
        <w:tc>
          <w:tcPr>
            <w:shd w:val="clear" w:color="auto" w:fill="FFFFFF"/>
            <w:vMerge w:val="restart"/>
            <w:tcBorders>
              <w:left w:val="single" w:sz="4"/>
              <w:top w:val="single" w:sz="4"/>
            </w:tcBorders>
            <w:vAlign w:val="bottom"/>
          </w:tcPr>
          <w:p>
            <w:pPr>
              <w:pStyle w:val="Style5"/>
              <w:framePr w:w="1022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7"/>
                <w:spacing w:val="0"/>
              </w:rPr>
              <w:t>20%</w:t>
            </w:r>
          </w:p>
        </w:tc>
        <w:tc>
          <w:tcPr>
            <w:shd w:val="clear" w:color="auto" w:fill="FFFFFF"/>
            <w:vMerge w:val="restart"/>
            <w:tcBorders>
              <w:left w:val="single" w:sz="4"/>
              <w:top w:val="single" w:sz="4"/>
            </w:tcBorders>
            <w:vAlign w:val="bottom"/>
          </w:tcPr>
          <w:p>
            <w:pPr>
              <w:pStyle w:val="Style5"/>
              <w:framePr w:w="10229" w:wrap="notBeside" w:vAnchor="text" w:hAnchor="text" w:xAlign="center" w:y="1"/>
              <w:widowControl w:val="0"/>
              <w:keepNext w:val="0"/>
              <w:keepLines w:val="0"/>
              <w:shd w:val="clear" w:color="auto" w:fill="auto"/>
              <w:bidi w:val="0"/>
              <w:jc w:val="right"/>
              <w:spacing w:before="0" w:after="0" w:line="260" w:lineRule="exact"/>
              <w:ind w:left="0" w:right="20" w:firstLine="0"/>
            </w:pPr>
            <w:r>
              <w:rPr>
                <w:rStyle w:val="CharStyle7"/>
                <w:spacing w:val="0"/>
              </w:rPr>
              <w:t>0,2 |</w:t>
            </w:r>
          </w:p>
        </w:tc>
        <w:tc>
          <w:tcPr>
            <w:shd w:val="clear" w:color="auto" w:fill="FFFFFF"/>
            <w:vMerge w:val="restart"/>
            <w:tcBorders>
              <w:left w:val="single" w:sz="4"/>
              <w:right w:val="single" w:sz="4"/>
              <w:top w:val="single" w:sz="4"/>
            </w:tcBorders>
            <w:vAlign w:val="bottom"/>
          </w:tcPr>
          <w:p>
            <w:pPr>
              <w:pStyle w:val="Style5"/>
              <w:framePr w:w="10229" w:wrap="notBeside" w:vAnchor="text" w:hAnchor="text" w:xAlign="center" w:y="1"/>
              <w:widowControl w:val="0"/>
              <w:keepNext w:val="0"/>
              <w:keepLines w:val="0"/>
              <w:shd w:val="clear" w:color="auto" w:fill="auto"/>
              <w:bidi w:val="0"/>
              <w:jc w:val="right"/>
              <w:spacing w:before="0" w:after="0" w:line="260" w:lineRule="exact"/>
              <w:ind w:left="0" w:right="40" w:firstLine="0"/>
            </w:pPr>
            <w:r>
              <w:rPr>
                <w:rStyle w:val="CharStyle7"/>
                <w:spacing w:val="0"/>
              </w:rPr>
              <w:t>10 I</w:t>
            </w:r>
          </w:p>
        </w:tc>
      </w:tr>
      <w:tr>
        <w:trPr>
          <w:trHeight w:val="158" w:hRule="exact"/>
        </w:trPr>
        <w:tc>
          <w:tcPr>
            <w:shd w:val="clear" w:color="auto" w:fill="FFFFFF"/>
            <w:vMerge w:val="restart"/>
            <w:tcBorders>
              <w:left w:val="single" w:sz="4"/>
              <w:top w:val="single" w:sz="4"/>
            </w:tcBorders>
            <w:vAlign w:val="top"/>
          </w:tcPr>
          <w:p>
            <w:pPr>
              <w:framePr w:w="10229" w:wrap="notBeside" w:vAnchor="text" w:hAnchor="text" w:xAlign="center" w:y="1"/>
              <w:widowControl w:val="0"/>
              <w:rPr>
                <w:sz w:val="10"/>
                <w:szCs w:val="10"/>
              </w:rPr>
            </w:pPr>
          </w:p>
        </w:tc>
        <w:tc>
          <w:tcPr>
            <w:shd w:val="clear" w:color="auto" w:fill="FFFFFF"/>
            <w:vMerge/>
            <w:tcBorders>
              <w:left w:val="single" w:sz="4"/>
            </w:tcBorders>
            <w:vAlign w:val="bottom"/>
          </w:tcPr>
          <w:p>
            <w:pPr>
              <w:framePr w:w="10229" w:wrap="notBeside" w:vAnchor="text" w:hAnchor="text" w:xAlign="center" w:y="1"/>
            </w:pPr>
          </w:p>
        </w:tc>
        <w:tc>
          <w:tcPr>
            <w:shd w:val="clear" w:color="auto" w:fill="FFFFFF"/>
            <w:vMerge/>
            <w:tcBorders>
              <w:left w:val="single" w:sz="4"/>
            </w:tcBorders>
            <w:vAlign w:val="bottom"/>
          </w:tcPr>
          <w:p>
            <w:pPr>
              <w:framePr w:w="10229" w:wrap="notBeside" w:vAnchor="text" w:hAnchor="text" w:xAlign="center" w:y="1"/>
            </w:pPr>
          </w:p>
        </w:tc>
        <w:tc>
          <w:tcPr>
            <w:shd w:val="clear" w:color="auto" w:fill="FFFFFF"/>
            <w:vMerge/>
            <w:tcBorders>
              <w:left w:val="single" w:sz="4"/>
            </w:tcBorders>
            <w:vAlign w:val="bottom"/>
          </w:tcPr>
          <w:p>
            <w:pPr>
              <w:framePr w:w="10229" w:wrap="notBeside" w:vAnchor="text" w:hAnchor="text" w:xAlign="center" w:y="1"/>
            </w:pPr>
          </w:p>
        </w:tc>
        <w:tc>
          <w:tcPr>
            <w:shd w:val="clear" w:color="auto" w:fill="FFFFFF"/>
            <w:vMerge/>
            <w:tcBorders>
              <w:left w:val="single" w:sz="4"/>
              <w:right w:val="single" w:sz="4"/>
            </w:tcBorders>
            <w:vAlign w:val="bottom"/>
          </w:tcPr>
          <w:p>
            <w:pPr>
              <w:framePr w:w="10229" w:wrap="notBeside" w:vAnchor="text" w:hAnchor="text" w:xAlign="center" w:y="1"/>
            </w:pPr>
          </w:p>
        </w:tc>
      </w:tr>
      <w:tr>
        <w:trPr>
          <w:trHeight w:val="480" w:hRule="exact"/>
        </w:trPr>
        <w:tc>
          <w:tcPr>
            <w:shd w:val="clear" w:color="auto" w:fill="FFFFFF"/>
            <w:vMerge/>
            <w:tcBorders>
              <w:left w:val="single" w:sz="4"/>
            </w:tcBorders>
            <w:vAlign w:val="top"/>
          </w:tcPr>
          <w:p>
            <w:pPr>
              <w:framePr w:w="10229" w:wrap="notBeside" w:vAnchor="text" w:hAnchor="text" w:xAlign="center" w:y="1"/>
            </w:pPr>
          </w:p>
        </w:tc>
        <w:tc>
          <w:tcPr>
            <w:shd w:val="clear" w:color="auto" w:fill="FFFFFF"/>
            <w:vMerge/>
            <w:tcBorders>
              <w:left w:val="single" w:sz="4"/>
            </w:tcBorders>
            <w:vAlign w:val="bottom"/>
          </w:tcPr>
          <w:p>
            <w:pPr>
              <w:framePr w:w="10229" w:wrap="notBeside" w:vAnchor="text" w:hAnchor="text" w:xAlign="center" w:y="1"/>
            </w:pPr>
          </w:p>
        </w:tc>
        <w:tc>
          <w:tcPr>
            <w:shd w:val="clear" w:color="auto" w:fill="FFFFFF"/>
            <w:vMerge w:val="restart"/>
            <w:tcBorders>
              <w:left w:val="single" w:sz="4"/>
              <w:top w:val="single" w:sz="4"/>
            </w:tcBorders>
            <w:vAlign w:val="top"/>
          </w:tcPr>
          <w:p>
            <w:pPr>
              <w:framePr w:w="10229"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29" w:wrap="notBeside" w:vAnchor="text" w:hAnchor="text" w:xAlign="center" w:y="1"/>
              <w:widowControl w:val="0"/>
              <w:rPr>
                <w:sz w:val="10"/>
                <w:szCs w:val="10"/>
              </w:rPr>
            </w:pPr>
          </w:p>
        </w:tc>
        <w:tc>
          <w:tcPr>
            <w:shd w:val="clear" w:color="auto" w:fill="FFFFFF"/>
            <w:vMerge w:val="restart"/>
            <w:tcBorders>
              <w:left w:val="single" w:sz="4"/>
              <w:right w:val="single" w:sz="4"/>
              <w:top w:val="single" w:sz="4"/>
            </w:tcBorders>
            <w:vAlign w:val="top"/>
          </w:tcPr>
          <w:p>
            <w:pPr>
              <w:framePr w:w="10229" w:wrap="notBeside" w:vAnchor="text" w:hAnchor="text" w:xAlign="center" w:y="1"/>
              <w:widowControl w:val="0"/>
              <w:rPr>
                <w:sz w:val="10"/>
                <w:szCs w:val="10"/>
              </w:rPr>
            </w:pPr>
          </w:p>
        </w:tc>
      </w:tr>
      <w:tr>
        <w:trPr>
          <w:trHeight w:val="254" w:hRule="exact"/>
        </w:trPr>
        <w:tc>
          <w:tcPr>
            <w:shd w:val="clear" w:color="auto" w:fill="FFFFFF"/>
            <w:vMerge/>
            <w:tcBorders>
              <w:left w:val="single" w:sz="4"/>
              <w:bottom w:val="single" w:sz="4"/>
            </w:tcBorders>
            <w:vAlign w:val="top"/>
          </w:tcPr>
          <w:p>
            <w:pPr>
              <w:framePr w:w="10229" w:wrap="notBeside" w:vAnchor="text" w:hAnchor="text" w:xAlign="center" w:y="1"/>
            </w:pPr>
          </w:p>
        </w:tc>
        <w:tc>
          <w:tcPr>
            <w:shd w:val="clear" w:color="auto" w:fill="FFFFFF"/>
            <w:tcBorders>
              <w:left w:val="single" w:sz="4"/>
              <w:top w:val="single" w:sz="4"/>
              <w:bottom w:val="single" w:sz="4"/>
            </w:tcBorders>
            <w:vAlign w:val="top"/>
          </w:tcPr>
          <w:p>
            <w:pPr>
              <w:framePr w:w="10229" w:wrap="notBeside" w:vAnchor="text" w:hAnchor="text" w:xAlign="center" w:y="1"/>
              <w:widowControl w:val="0"/>
              <w:rPr>
                <w:sz w:val="10"/>
                <w:szCs w:val="10"/>
              </w:rPr>
            </w:pPr>
          </w:p>
        </w:tc>
        <w:tc>
          <w:tcPr>
            <w:shd w:val="clear" w:color="auto" w:fill="FFFFFF"/>
            <w:vMerge/>
            <w:tcBorders>
              <w:left w:val="single" w:sz="4"/>
              <w:bottom w:val="single" w:sz="4"/>
            </w:tcBorders>
            <w:vAlign w:val="top"/>
          </w:tcPr>
          <w:p>
            <w:pPr>
              <w:framePr w:w="10229" w:wrap="notBeside" w:vAnchor="text" w:hAnchor="text" w:xAlign="center" w:y="1"/>
            </w:pPr>
          </w:p>
        </w:tc>
        <w:tc>
          <w:tcPr>
            <w:shd w:val="clear" w:color="auto" w:fill="FFFFFF"/>
            <w:vMerge/>
            <w:tcBorders>
              <w:left w:val="single" w:sz="4"/>
              <w:bottom w:val="single" w:sz="4"/>
            </w:tcBorders>
            <w:vAlign w:val="top"/>
          </w:tcPr>
          <w:p>
            <w:pPr>
              <w:framePr w:w="10229" w:wrap="notBeside" w:vAnchor="text" w:hAnchor="text" w:xAlign="center" w:y="1"/>
            </w:pPr>
          </w:p>
        </w:tc>
        <w:tc>
          <w:tcPr>
            <w:shd w:val="clear" w:color="auto" w:fill="FFFFFF"/>
            <w:vMerge/>
            <w:tcBorders>
              <w:left w:val="single" w:sz="4"/>
              <w:right w:val="single" w:sz="4"/>
              <w:bottom w:val="single" w:sz="4"/>
            </w:tcBorders>
            <w:vAlign w:val="top"/>
          </w:tcPr>
          <w:p>
            <w:pPr>
              <w:framePr w:w="10229" w:wrap="notBeside" w:vAnchor="text" w:hAnchor="text" w:xAlign="center" w:y="1"/>
            </w:pPr>
          </w:p>
        </w:tc>
      </w:tr>
    </w:tbl>
    <w:p>
      <w:pPr>
        <w:widowControl w:val="0"/>
        <w:rPr>
          <w:sz w:val="2"/>
          <w:szCs w:val="2"/>
        </w:rPr>
      </w:pPr>
    </w:p>
    <w:p>
      <w:pPr>
        <w:pStyle w:val="Style5"/>
        <w:widowControl w:val="0"/>
        <w:keepNext w:val="0"/>
        <w:keepLines w:val="0"/>
        <w:shd w:val="clear" w:color="auto" w:fill="auto"/>
        <w:bidi w:val="0"/>
        <w:jc w:val="both"/>
        <w:spacing w:before="295" w:after="0"/>
        <w:ind w:left="20" w:right="0" w:firstLine="720"/>
      </w:pPr>
      <w:r>
        <w:rPr>
          <w:lang w:val="ru-RU" w:eastAsia="ru-RU" w:bidi="ru-RU"/>
          <w:sz w:val="24"/>
          <w:szCs w:val="24"/>
          <w:w w:val="100"/>
          <w:spacing w:val="0"/>
          <w:color w:val="000000"/>
          <w:position w:val="0"/>
        </w:rPr>
        <w:t>Сведения подтверждаются следующими документами:</w:t>
      </w:r>
    </w:p>
    <w:p>
      <w:pPr>
        <w:pStyle w:val="Style5"/>
        <w:numPr>
          <w:ilvl w:val="0"/>
          <w:numId w:val="5"/>
        </w:numPr>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 копиями трудовых книжек в отношении работников, с которыми у участника заключен трудовой договор и место работы является для них основным; копию трудового договора в отношении работников, с которыми у участника заключен трудовой договор совместителя; копии гражданско-правовых договоров в отношении работников, с которыми у участника заключен гражданско-правовой договор;</w:t>
      </w:r>
    </w:p>
    <w:p>
      <w:pPr>
        <w:pStyle w:val="Style5"/>
        <w:numPr>
          <w:ilvl w:val="0"/>
          <w:numId w:val="5"/>
        </w:numPr>
        <w:tabs>
          <w:tab w:leader="none" w:pos="2929" w:val="left"/>
        </w:tabs>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 копиями документов о профильном образовании работников, согласно занимаемой должности (дипломов, сертификатов и иных документов, выданных образовательными учреждениями РФ о получении профильного образования или признанных в РФ):</w:t>
        <w:tab/>
        <w:t>для повара предоставляется документ о профильном образовании не ниже 4-ого разряда, для заведующих производством предоставляется документ о профильном образовании, для работников кухни, товароведов может не предоставляться документ об образовании, технолога предоставляется документ о профильном образовании, для водителей, водителей- экспедиторов предоставляется водительское удостоверение;</w:t>
      </w:r>
    </w:p>
    <w:p>
      <w:pPr>
        <w:pStyle w:val="Style5"/>
        <w:numPr>
          <w:ilvl w:val="0"/>
          <w:numId w:val="5"/>
        </w:numPr>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 копией формы «Сведения о застрахованных лицах (форма СЗВ-М)» с документом, подтверждающим направление и принятие данных сведений ПФР РФ за последний отчетный период (если срок окончания подачи заявок приходится на дату после 15 числа месяца окончания подачи заявок) или за отчетный период, предшествующий последнему истекшему отчетному периоду на момент окончания срока подачи заявок (если срок окончания подачи заявок приходится на дату до 15 числа месяца окончания подачи заявок);</w:t>
      </w:r>
    </w:p>
    <w:p>
      <w:pPr>
        <w:pStyle w:val="Style5"/>
        <w:numPr>
          <w:ilvl w:val="0"/>
          <w:numId w:val="5"/>
        </w:numPr>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 копиями медицинских книжек со всеми отметками, которые должны быть в ней в соответствии с требованиями законодательства к моменту окончания срока подачи заявок в отношении каждого работника;</w:t>
      </w:r>
    </w:p>
    <w:p>
      <w:pPr>
        <w:pStyle w:val="Style5"/>
        <w:numPr>
          <w:ilvl w:val="0"/>
          <w:numId w:val="5"/>
        </w:numPr>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 копиями согласий на обработку персональных данных, данных каждым работником, в отношении которых Участник предоставляет документы, содержащие персональные данные (в том числе сведения о Фамилии, Имени, Отчестве, дате рождения, должности и т.п. данные, которые относятся к персональным в соответствии с Федеральным законом от 27.07.2006 № 152-ФЗ «О персональных данных») (оформляется по форме № 4 приложения 1).</w:t>
      </w:r>
    </w:p>
    <w:p>
      <w:pPr>
        <w:pStyle w:val="Style5"/>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При этом представленные документы должны быть в виде неповторяющихся, полно читаемых копий, содержащих все страницы, входящие в соответствующий документы (для трудовых книжек допустимо не предоставлять копии страниц, не содержащих записи), на которых видны необходимые сведения, подписи и печати.</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При оценке по данному критерию не будут учтены работники, в отношении которых не предоставлены какие-либо из вышеперечисленных документов.</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Непредставление в составе заявки на участие в конкурсе таких документов не является основанием для отказа в допуске к участию в конкурсе, однако при оценке заявок по настоящему показателю комиссией будут учитываться только те сведения, заявленные участниками закупки, которые подтверждены документально в составе заявки на участие в конкурсе.</w:t>
      </w:r>
    </w:p>
    <w:p>
      <w:pPr>
        <w:pStyle w:val="Style5"/>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Порядок оценки:</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Общий балл по данному показателю определяется из обеспеченности участника закупки трудовыми ресурсами, выражающейся в количестве осуществляющих трудовую функцию по трудовому договору, по договору гражданско-правового характера с участником конкурса работниках из расчета 1 балл за каждого работника. При этом, в отношении каждого работника должны быть предоставлены все подтверждающие документы.</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случае, если в отношении не всего числа работников, указанных в форме СЗВ-М предоставлены подтверждающие документы, к оценке будет принято только то количество единиц работников, в отношении которых предоставлены подтверждающие документы.</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Количество баллов, присуждаемых по показателю (НЦЫ), определяется по формуле:</w:t>
      </w:r>
    </w:p>
    <w:p>
      <w:pPr>
        <w:pStyle w:val="Style5"/>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а) в случае если Кmax &lt; Кпред, - по формуле:</w:t>
      </w:r>
    </w:p>
    <w:p>
      <w:pPr>
        <w:pStyle w:val="Style5"/>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 xml:space="preserve">НЦЫ = КЗ </w:t>
      </w:r>
      <w:r>
        <w:rPr>
          <w:lang w:val="en-US" w:eastAsia="en-US" w:bidi="en-US"/>
          <w:sz w:val="24"/>
          <w:szCs w:val="24"/>
          <w:w w:val="100"/>
          <w:spacing w:val="0"/>
          <w:color w:val="000000"/>
          <w:position w:val="0"/>
        </w:rPr>
        <w:t xml:space="preserve">x </w:t>
      </w:r>
      <w:r>
        <w:rPr>
          <w:lang w:val="ru-RU" w:eastAsia="ru-RU" w:bidi="ru-RU"/>
          <w:sz w:val="24"/>
          <w:szCs w:val="24"/>
          <w:w w:val="100"/>
          <w:spacing w:val="0"/>
          <w:color w:val="000000"/>
          <w:position w:val="0"/>
        </w:rPr>
        <w:t xml:space="preserve">100 </w:t>
      </w:r>
      <w:r>
        <w:rPr>
          <w:lang w:val="en-US" w:eastAsia="en-US" w:bidi="en-US"/>
          <w:sz w:val="24"/>
          <w:szCs w:val="24"/>
          <w:w w:val="100"/>
          <w:spacing w:val="0"/>
          <w:color w:val="000000"/>
          <w:position w:val="0"/>
        </w:rPr>
        <w:t xml:space="preserve">x </w:t>
      </w:r>
      <w:r>
        <w:rPr>
          <w:lang w:val="ru-RU" w:eastAsia="ru-RU" w:bidi="ru-RU"/>
          <w:sz w:val="24"/>
          <w:szCs w:val="24"/>
          <w:w w:val="100"/>
          <w:spacing w:val="0"/>
          <w:color w:val="000000"/>
          <w:position w:val="0"/>
        </w:rPr>
        <w:t xml:space="preserve">(К / </w:t>
      </w:r>
      <w:r>
        <w:rPr>
          <w:lang w:val="en-US" w:eastAsia="en-US" w:bidi="en-US"/>
          <w:sz w:val="24"/>
          <w:szCs w:val="24"/>
          <w:w w:val="100"/>
          <w:spacing w:val="0"/>
          <w:color w:val="000000"/>
          <w:position w:val="0"/>
        </w:rPr>
        <w:t>Kmax);</w:t>
      </w:r>
    </w:p>
    <w:p>
      <w:pPr>
        <w:pStyle w:val="Style5"/>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б) в случае если Ктах &gt; Кпред, - по формуле:</w:t>
      </w:r>
    </w:p>
    <w:p>
      <w:pPr>
        <w:pStyle w:val="Style5"/>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 xml:space="preserve">НЦЫ = КЗ </w:t>
      </w:r>
      <w:r>
        <w:rPr>
          <w:lang w:val="en-US" w:eastAsia="en-US" w:bidi="en-US"/>
          <w:sz w:val="24"/>
          <w:szCs w:val="24"/>
          <w:w w:val="100"/>
          <w:spacing w:val="0"/>
          <w:color w:val="000000"/>
          <w:position w:val="0"/>
        </w:rPr>
        <w:t xml:space="preserve">x </w:t>
      </w:r>
      <w:r>
        <w:rPr>
          <w:lang w:val="ru-RU" w:eastAsia="ru-RU" w:bidi="ru-RU"/>
          <w:sz w:val="24"/>
          <w:szCs w:val="24"/>
          <w:w w:val="100"/>
          <w:spacing w:val="0"/>
          <w:color w:val="000000"/>
          <w:position w:val="0"/>
        </w:rPr>
        <w:t xml:space="preserve">100 </w:t>
      </w:r>
      <w:r>
        <w:rPr>
          <w:lang w:val="en-US" w:eastAsia="en-US" w:bidi="en-US"/>
          <w:sz w:val="24"/>
          <w:szCs w:val="24"/>
          <w:w w:val="100"/>
          <w:spacing w:val="0"/>
          <w:color w:val="000000"/>
          <w:position w:val="0"/>
        </w:rPr>
        <w:t xml:space="preserve">x </w:t>
      </w:r>
      <w:r>
        <w:rPr>
          <w:lang w:val="ru-RU" w:eastAsia="ru-RU" w:bidi="ru-RU"/>
          <w:sz w:val="24"/>
          <w:szCs w:val="24"/>
          <w:w w:val="100"/>
          <w:spacing w:val="0"/>
          <w:color w:val="000000"/>
          <w:position w:val="0"/>
        </w:rPr>
        <w:t>(К / Кпред);</w:t>
      </w:r>
    </w:p>
    <w:p>
      <w:pPr>
        <w:pStyle w:val="Style5"/>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 xml:space="preserve">при этом </w:t>
      </w:r>
      <w:r>
        <w:rPr>
          <w:rStyle w:val="CharStyle12"/>
        </w:rPr>
        <w:t>HTT</w:t>
      </w:r>
      <w:r>
        <w:rPr>
          <w:lang w:val="en-US" w:eastAsia="en-US" w:bidi="en-US"/>
          <w:sz w:val="24"/>
          <w:szCs w:val="24"/>
          <w:w w:val="100"/>
          <w:spacing w:val="0"/>
          <w:color w:val="000000"/>
          <w:position w:val="0"/>
        </w:rPr>
        <w:t xml:space="preserve">bmax </w:t>
      </w:r>
      <w:r>
        <w:rPr>
          <w:lang w:val="ru-RU" w:eastAsia="ru-RU" w:bidi="ru-RU"/>
          <w:sz w:val="24"/>
          <w:szCs w:val="24"/>
          <w:w w:val="100"/>
          <w:spacing w:val="0"/>
          <w:color w:val="000000"/>
          <w:position w:val="0"/>
        </w:rPr>
        <w:t xml:space="preserve">= КЗ </w:t>
      </w:r>
      <w:r>
        <w:rPr>
          <w:lang w:val="en-US" w:eastAsia="en-US" w:bidi="en-US"/>
          <w:sz w:val="24"/>
          <w:szCs w:val="24"/>
          <w:w w:val="100"/>
          <w:spacing w:val="0"/>
          <w:color w:val="000000"/>
          <w:position w:val="0"/>
        </w:rPr>
        <w:t xml:space="preserve">x </w:t>
      </w:r>
      <w:r>
        <w:rPr>
          <w:lang w:val="ru-RU" w:eastAsia="ru-RU" w:bidi="ru-RU"/>
          <w:sz w:val="24"/>
          <w:szCs w:val="24"/>
          <w:w w:val="100"/>
          <w:spacing w:val="0"/>
          <w:color w:val="000000"/>
          <w:position w:val="0"/>
        </w:rPr>
        <w:t>100,</w:t>
      </w:r>
    </w:p>
    <w:p>
      <w:pPr>
        <w:pStyle w:val="Style5"/>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где:</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КЗ - коэффициент значимости показателя. В случае если используется один показатель, КЗ = 1 (установлено таблицей 1);</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 - предложение участника закупки, заявка (предложение) которого оценивается;</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Kmax - максимальное предложение из предложений по критерию оценки, сделанных участниками закупки;</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Кпред - предельно необходимое заказчику значение характеристик (предельное значение для каждого подпоказателя установлено таблицей 1);</w:t>
      </w:r>
    </w:p>
    <w:p>
      <w:pPr>
        <w:pStyle w:val="Style5"/>
        <w:widowControl w:val="0"/>
        <w:keepNext w:val="0"/>
        <w:keepLines w:val="0"/>
        <w:shd w:val="clear" w:color="auto" w:fill="auto"/>
        <w:bidi w:val="0"/>
        <w:jc w:val="both"/>
        <w:spacing w:before="0" w:after="0"/>
        <w:ind w:left="20" w:right="20" w:firstLine="720"/>
      </w:pPr>
      <w:r>
        <w:rPr>
          <w:rStyle w:val="CharStyle12"/>
        </w:rPr>
        <w:t>HI |</w:t>
      </w:r>
      <w:r>
        <w:rPr>
          <w:lang w:val="en-US" w:eastAsia="en-US" w:bidi="en-US"/>
          <w:sz w:val="24"/>
          <w:szCs w:val="24"/>
          <w:w w:val="100"/>
          <w:spacing w:val="0"/>
          <w:color w:val="000000"/>
          <w:position w:val="0"/>
        </w:rPr>
        <w:t xml:space="preserve">Kma.x </w:t>
      </w:r>
      <w:r>
        <w:rPr>
          <w:lang w:val="ru-RU" w:eastAsia="ru-RU" w:bidi="ru-RU"/>
          <w:sz w:val="24"/>
          <w:szCs w:val="24"/>
          <w:w w:val="100"/>
          <w:spacing w:val="0"/>
          <w:color w:val="000000"/>
          <w:position w:val="0"/>
        </w:rPr>
        <w:t>- количество баллов по критерию оценки (показателю), присуждаемых участникам, предложение которых превышает предельно необходимое максимальное значение, установленное заказчиком.</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В случае не предоставления </w:t>
      </w:r>
      <w:r>
        <w:rPr>
          <w:lang w:val="en-US" w:eastAsia="en-US" w:bidi="en-US"/>
          <w:sz w:val="24"/>
          <w:szCs w:val="24"/>
          <w:w w:val="100"/>
          <w:spacing w:val="0"/>
          <w:color w:val="000000"/>
          <w:position w:val="0"/>
        </w:rPr>
        <w:t>i</w:t>
      </w:r>
      <w:r>
        <w:rPr>
          <w:lang w:val="ru-RU" w:eastAsia="ru-RU" w:bidi="ru-RU"/>
          <w:sz w:val="24"/>
          <w:szCs w:val="24"/>
          <w:w w:val="100"/>
          <w:spacing w:val="0"/>
          <w:color w:val="000000"/>
          <w:position w:val="0"/>
        </w:rPr>
        <w:t>-м участником конкурса документов, предусмотренных по данному показателю, заявке такого участника конкурса по указанному показателю присуждается значение, равное 0 баллов».</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 по мнению Заявителя, оценивается количество работников, осуществляющих трудовую функцию в том числе по иному договору гражданско- правового характера с участником конкурса. Вместе с тем если участник привлекает для участия в конкурсе работников по договору гражданско-правового характера у него нет и не может быть копии формы «Сведения о застрахованных лицах (форма СЗВ-М)», поскольку они не работали у него в последний отчетный период.</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Комиссия Управления отмечает, что справки «Сведения о застрахованных лицах» на основании отчетности по форме СЗВ-М в Пенсионный фонд Российской Федерации каждый участник (юридическое лицо) обязан ежемесячно сдавать в Пенсионный фонд Российской Федерации, где отображены все работники в том числе и те, с которыми в отчетном периоде заключены, продолжают действовать или прекращены не только трудовые, но и гражданско-правовые договоры, авторского заказа, договоры об отчуждении исключительного права и др. Таким образом, участники закупки вправе представить сведения о сотрудниках, с которыми заключены гражданско-правовые договора, ввиду чего довод о том, что участник не может представить данную справку на привлеченных специалистов является недостоверным.</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Таким образом, Комиссия Управления приходит к выводу о необоснованности данного довода жалобы.</w:t>
      </w:r>
    </w:p>
    <w:p>
      <w:pPr>
        <w:pStyle w:val="Style5"/>
        <w:widowControl w:val="0"/>
        <w:keepNext w:val="0"/>
        <w:keepLines w:val="0"/>
        <w:shd w:val="clear" w:color="auto" w:fill="auto"/>
        <w:bidi w:val="0"/>
        <w:jc w:val="both"/>
        <w:spacing w:before="0" w:after="349"/>
        <w:ind w:left="20" w:right="20" w:firstLine="720"/>
      </w:pPr>
      <w:r>
        <w:rPr>
          <w:lang w:val="ru-RU" w:eastAsia="ru-RU" w:bidi="ru-RU"/>
          <w:sz w:val="24"/>
          <w:szCs w:val="24"/>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0"/>
        <w:widowControl w:val="0"/>
        <w:keepNext/>
        <w:keepLines/>
        <w:shd w:val="clear" w:color="auto" w:fill="auto"/>
        <w:bidi w:val="0"/>
        <w:spacing w:before="0" w:after="299" w:line="260" w:lineRule="exact"/>
        <w:ind w:left="0" w:right="0" w:firstLine="0"/>
      </w:pPr>
      <w:bookmarkStart w:id="1" w:name="bookmark1"/>
      <w:r>
        <w:rPr>
          <w:lang w:val="ru-RU" w:eastAsia="ru-RU" w:bidi="ru-RU"/>
          <w:w w:val="100"/>
          <w:spacing w:val="0"/>
          <w:color w:val="000000"/>
          <w:position w:val="0"/>
        </w:rPr>
        <w:t>Р Е Ш И Л А:</w:t>
      </w:r>
      <w:bookmarkEnd w:id="1"/>
    </w:p>
    <w:p>
      <w:pPr>
        <w:pStyle w:val="Style5"/>
        <w:numPr>
          <w:ilvl w:val="0"/>
          <w:numId w:val="7"/>
        </w:numPr>
        <w:widowControl w:val="0"/>
        <w:keepNext w:val="0"/>
        <w:keepLines w:val="0"/>
        <w:shd w:val="clear" w:color="auto" w:fill="auto"/>
        <w:bidi w:val="0"/>
        <w:jc w:val="both"/>
        <w:spacing w:before="0" w:after="0" w:line="326" w:lineRule="exact"/>
        <w:ind w:left="20" w:right="20" w:firstLine="720"/>
      </w:pPr>
      <w:r>
        <w:rPr>
          <w:lang w:val="ru-RU" w:eastAsia="ru-RU" w:bidi="ru-RU"/>
          <w:sz w:val="24"/>
          <w:szCs w:val="24"/>
          <w:w w:val="100"/>
          <w:spacing w:val="0"/>
          <w:color w:val="000000"/>
          <w:position w:val="0"/>
        </w:rPr>
        <w:t xml:space="preserve"> Признать жалобу ООО «АСТ Сервис» на действия ФГБУ «НМ</w:t>
      </w:r>
      <w:r>
        <w:rPr>
          <w:rStyle w:val="CharStyle12"/>
          <w:lang w:val="ru-RU" w:eastAsia="ru-RU" w:bidi="ru-RU"/>
        </w:rPr>
        <w:t>ИЦ</w:t>
      </w:r>
      <w:r>
        <w:rPr>
          <w:lang w:val="ru-RU" w:eastAsia="ru-RU" w:bidi="ru-RU"/>
          <w:sz w:val="24"/>
          <w:szCs w:val="24"/>
          <w:w w:val="100"/>
          <w:spacing w:val="0"/>
          <w:color w:val="000000"/>
          <w:position w:val="0"/>
        </w:rPr>
        <w:t xml:space="preserve"> ОНКОЛОГИИ ИМ. Н.Н. БЛОХИНА» МИНЗДРАВА РОССИИ необоснованной.</w:t>
      </w:r>
    </w:p>
    <w:p>
      <w:pPr>
        <w:pStyle w:val="Style5"/>
        <w:numPr>
          <w:ilvl w:val="0"/>
          <w:numId w:val="7"/>
        </w:numPr>
        <w:widowControl w:val="0"/>
        <w:keepNext w:val="0"/>
        <w:keepLines w:val="0"/>
        <w:shd w:val="clear" w:color="auto" w:fill="auto"/>
        <w:bidi w:val="0"/>
        <w:jc w:val="both"/>
        <w:spacing w:before="0" w:after="300"/>
        <w:ind w:left="20" w:right="20" w:firstLine="720"/>
      </w:pPr>
      <w:r>
        <w:rPr>
          <w:lang w:val="ru-RU" w:eastAsia="ru-RU" w:bidi="ru-RU"/>
          <w:sz w:val="24"/>
          <w:szCs w:val="24"/>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08.11.2021 № ЕИ/67691/21.</w:t>
      </w:r>
    </w:p>
    <w:p>
      <w:pPr>
        <w:pStyle w:val="Style5"/>
        <w:widowControl w:val="0"/>
        <w:keepNext w:val="0"/>
        <w:keepLines w:val="0"/>
        <w:shd w:val="clear" w:color="auto" w:fill="auto"/>
        <w:bidi w:val="0"/>
        <w:jc w:val="both"/>
        <w:spacing w:before="0" w:after="343"/>
        <w:ind w:left="20" w:right="20" w:firstLine="720"/>
      </w:pPr>
      <w:r>
        <w:rPr>
          <w:lang w:val="ru-RU" w:eastAsia="ru-RU" w:bidi="ru-RU"/>
          <w:sz w:val="24"/>
          <w:szCs w:val="24"/>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876" w:val="center"/>
          <w:tab w:leader="none" w:pos="10189" w:val="right"/>
        </w:tabs>
        <w:widowControl w:val="0"/>
        <w:keepNext w:val="0"/>
        <w:keepLines w:val="0"/>
        <w:shd w:val="clear" w:color="auto" w:fill="auto"/>
        <w:bidi w:val="0"/>
        <w:jc w:val="both"/>
        <w:spacing w:before="0" w:after="0" w:line="643" w:lineRule="exact"/>
        <w:ind w:left="20" w:right="0" w:firstLine="0"/>
      </w:pPr>
      <w:r>
        <w:rPr>
          <w:lang w:val="ru-RU" w:eastAsia="ru-RU" w:bidi="ru-RU"/>
          <w:sz w:val="24"/>
          <w:szCs w:val="24"/>
          <w:w w:val="100"/>
          <w:spacing w:val="0"/>
          <w:color w:val="000000"/>
          <w:position w:val="0"/>
        </w:rPr>
        <w:t>Заместитель председателя Комиссии</w:t>
        <w:tab/>
        <w:t>С.И.</w:t>
        <w:tab/>
        <w:t>Казарин</w:t>
      </w:r>
    </w:p>
    <w:p>
      <w:pPr>
        <w:pStyle w:val="Style5"/>
        <w:tabs>
          <w:tab w:leader="none" w:pos="8924" w:val="right"/>
          <w:tab w:leader="none" w:pos="10189" w:val="right"/>
        </w:tabs>
        <w:widowControl w:val="0"/>
        <w:keepNext w:val="0"/>
        <w:keepLines w:val="0"/>
        <w:shd w:val="clear" w:color="auto" w:fill="auto"/>
        <w:bidi w:val="0"/>
        <w:jc w:val="both"/>
        <w:spacing w:before="0" w:after="0" w:line="643" w:lineRule="exact"/>
        <w:ind w:left="20" w:right="0" w:firstLine="0"/>
      </w:pPr>
      <w:r>
        <w:rPr>
          <w:lang w:val="ru-RU" w:eastAsia="ru-RU" w:bidi="ru-RU"/>
          <w:sz w:val="24"/>
          <w:szCs w:val="24"/>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0" w:line="643" w:lineRule="exact"/>
        <w:ind w:left="0" w:right="20" w:firstLine="0"/>
      </w:pPr>
      <w:r>
        <w:rPr>
          <w:lang w:val="ru-RU" w:eastAsia="ru-RU" w:bidi="ru-RU"/>
          <w:sz w:val="24"/>
          <w:szCs w:val="24"/>
          <w:w w:val="100"/>
          <w:spacing w:val="0"/>
          <w:color w:val="000000"/>
          <w:position w:val="0"/>
        </w:rPr>
        <w:t>А.А. Кутейников</w:t>
      </w:r>
    </w:p>
    <w:p>
      <w:pPr>
        <w:pStyle w:val="Style19"/>
        <w:widowControl w:val="0"/>
        <w:keepNext w:val="0"/>
        <w:keepLines w:val="0"/>
        <w:shd w:val="clear" w:color="auto" w:fill="auto"/>
        <w:bidi w:val="0"/>
        <w:jc w:val="left"/>
        <w:spacing w:before="0" w:after="0"/>
        <w:ind w:left="20" w:right="820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098" w:left="843" w:right="819" w:bottom="101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spacing w:val="3"/>
    </w:rPr>
  </w:style>
  <w:style w:type="character" w:customStyle="1" w:styleId="CharStyle7">
    <w:name w:val="Основной текст"/>
    <w:basedOn w:val="CharStyle6"/>
    <w:rPr>
      <w:lang w:val="ru-RU" w:eastAsia="ru-RU" w:bidi="ru-RU"/>
      <w:sz w:val="24"/>
      <w:szCs w:val="24"/>
      <w:w w:val="100"/>
      <w:color w:val="000000"/>
      <w:position w:val="0"/>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6"/>
    <w:rPr>
      <w:lang w:val="en-US" w:eastAsia="en-US" w:bidi="en-US"/>
      <w:u w:val="single"/>
      <w:sz w:val="26"/>
      <w:szCs w:val="26"/>
      <w:w w:val="100"/>
      <w:spacing w:val="0"/>
      <w:color w:val="000000"/>
      <w:position w:val="0"/>
    </w:rPr>
  </w:style>
  <w:style w:type="character" w:customStyle="1" w:styleId="CharStyle14">
    <w:name w:val="Основной текст (3)_"/>
    <w:basedOn w:val="DefaultParagraphFont"/>
    <w:link w:val="Style13"/>
    <w:rPr>
      <w:b w:val="0"/>
      <w:bCs w:val="0"/>
      <w:i/>
      <w:iCs/>
      <w:u w:val="none"/>
      <w:strike w:val="0"/>
      <w:smallCaps w:val="0"/>
      <w:sz w:val="26"/>
      <w:szCs w:val="26"/>
      <w:rFonts w:ascii="Times New Roman" w:eastAsia="Times New Roman" w:hAnsi="Times New Roman" w:cs="Times New Roman"/>
    </w:rPr>
  </w:style>
  <w:style w:type="character" w:customStyle="1" w:styleId="CharStyle15">
    <w:name w:val="Основной текст (3) + Не курсив"/>
    <w:basedOn w:val="CharStyle14"/>
    <w:rPr>
      <w:lang w:val="ru-RU" w:eastAsia="ru-RU" w:bidi="ru-RU"/>
      <w:i/>
      <w:iCs/>
      <w:w w:val="100"/>
      <w:spacing w:val="0"/>
      <w:color w:val="000000"/>
      <w:position w:val="0"/>
    </w:rPr>
  </w:style>
  <w:style w:type="character" w:customStyle="1" w:styleId="CharStyle16">
    <w:name w:val="Основной текст (3) + Не курсив"/>
    <w:basedOn w:val="CharStyle14"/>
    <w:rPr>
      <w:lang w:val="ru-RU" w:eastAsia="ru-RU" w:bidi="ru-RU"/>
      <w:i/>
      <w:iCs/>
      <w:u w:val="single"/>
      <w:w w:val="100"/>
      <w:spacing w:val="0"/>
      <w:color w:val="000000"/>
      <w:position w:val="0"/>
    </w:rPr>
  </w:style>
  <w:style w:type="character" w:customStyle="1" w:styleId="CharStyle17">
    <w:name w:val="Основной текст + Курсив"/>
    <w:basedOn w:val="CharStyle6"/>
    <w:rPr>
      <w:lang w:val="ru-RU" w:eastAsia="ru-RU" w:bidi="ru-RU"/>
      <w:i/>
      <w:iCs/>
      <w:sz w:val="26"/>
      <w:szCs w:val="26"/>
      <w:w w:val="100"/>
      <w:spacing w:val="0"/>
      <w:color w:val="000000"/>
      <w:position w:val="0"/>
    </w:rPr>
  </w:style>
  <w:style w:type="character" w:customStyle="1" w:styleId="CharStyle18">
    <w:name w:val="Основной текст + 21 pt,Полужирный"/>
    <w:basedOn w:val="CharStyle6"/>
    <w:rPr>
      <w:lang w:val="ru-RU" w:eastAsia="ru-RU" w:bidi="ru-RU"/>
      <w:b/>
      <w:bCs/>
      <w:sz w:val="42"/>
      <w:szCs w:val="42"/>
      <w:w w:val="100"/>
      <w:spacing w:val="0"/>
      <w:color w:val="000000"/>
      <w:position w:val="0"/>
    </w:rPr>
  </w:style>
  <w:style w:type="character" w:customStyle="1" w:styleId="CharStyle20">
    <w:name w:val="Основной текст (4)_"/>
    <w:basedOn w:val="DefaultParagraphFont"/>
    <w:link w:val="Style19"/>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22" w:lineRule="exact"/>
    </w:pPr>
    <w:rPr>
      <w:b w:val="0"/>
      <w:bCs w:val="0"/>
      <w:i w:val="0"/>
      <w:iCs w:val="0"/>
      <w:u w:val="none"/>
      <w:strike w:val="0"/>
      <w:smallCaps w:val="0"/>
      <w:rFonts w:ascii="Times New Roman" w:eastAsia="Times New Roman" w:hAnsi="Times New Roman" w:cs="Times New Roman"/>
      <w:spacing w:val="3"/>
    </w:rPr>
  </w:style>
  <w:style w:type="paragraph" w:customStyle="1" w:styleId="Style8">
    <w:name w:val="Основной текст (2)"/>
    <w:basedOn w:val="Normal"/>
    <w:link w:val="CharStyle9"/>
    <w:pPr>
      <w:widowControl w:val="0"/>
      <w:shd w:val="clear" w:color="auto" w:fill="FFFFFF"/>
      <w:spacing w:before="1080" w:line="322"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line="322" w:lineRule="exact"/>
    </w:pPr>
    <w:rPr>
      <w:b w:val="0"/>
      <w:bCs w:val="0"/>
      <w:i/>
      <w:iCs/>
      <w:u w:val="none"/>
      <w:strike w:val="0"/>
      <w:smallCaps w:val="0"/>
      <w:sz w:val="26"/>
      <w:szCs w:val="26"/>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spacing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