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6" w:hSpace="219" w:wrap="around" w:vAnchor="text" w:hAnchor="margin" w:x="9326" w:y="567"/>
        <w:widowControl w:val="0"/>
        <w:keepNext w:val="0"/>
        <w:keepLines w:val="0"/>
        <w:shd w:val="clear" w:color="auto" w:fill="auto"/>
        <w:bidi w:val="0"/>
        <w:jc w:val="left"/>
        <w:spacing w:before="0" w:after="0" w:line="220" w:lineRule="exact"/>
        <w:ind w:left="100" w:right="0" w:firstLine="0"/>
      </w:pPr>
      <w:r>
        <w:rPr>
          <w:rStyle w:val="CharStyle4"/>
          <w:spacing w:val="0"/>
        </w:rPr>
        <w:t>Тараса</w:t>
      </w:r>
    </w:p>
    <w:p>
      <w:pPr>
        <w:pStyle w:val="Style5"/>
        <w:framePr w:w="443" w:h="541" w:wrap="around" w:vAnchor="text" w:hAnchor="margin" w:x="9911" w:y="1338"/>
        <w:widowControl w:val="0"/>
        <w:keepNext w:val="0"/>
        <w:keepLines w:val="0"/>
        <w:shd w:val="clear" w:color="auto" w:fill="auto"/>
        <w:bidi w:val="0"/>
        <w:spacing w:before="0" w:after="27" w:line="140" w:lineRule="exact"/>
        <w:ind w:left="0" w:right="100" w:firstLine="0"/>
      </w:pPr>
      <w:r>
        <w:rPr>
          <w:lang w:val="ru-RU" w:eastAsia="ru-RU" w:bidi="ru-RU"/>
          <w:w w:val="100"/>
          <w:spacing w:val="0"/>
          <w:color w:val="000000"/>
          <w:position w:val="0"/>
        </w:rPr>
        <w:t>Щ</w:t>
      </w:r>
    </w:p>
    <w:p>
      <w:pPr>
        <w:pStyle w:val="Style7"/>
        <w:framePr w:w="443" w:h="541" w:wrap="around" w:vAnchor="text" w:hAnchor="margin" w:x="9911" w:y="1338"/>
        <w:widowControl w:val="0"/>
        <w:keepNext w:val="0"/>
        <w:keepLines w:val="0"/>
        <w:shd w:val="clear" w:color="auto" w:fill="auto"/>
        <w:bidi w:val="0"/>
        <w:jc w:val="left"/>
        <w:spacing w:before="0" w:after="0" w:line="150" w:lineRule="exact"/>
        <w:ind w:left="180" w:right="0" w:firstLine="0"/>
      </w:pPr>
      <w:r>
        <w:rPr>
          <w:lang w:val="ru-RU" w:eastAsia="ru-RU" w:bidi="ru-RU"/>
          <w:w w:val="100"/>
          <w:spacing w:val="-20"/>
          <w:color w:val="000000"/>
          <w:position w:val="0"/>
        </w:rPr>
        <w:t>\фс</w:t>
      </w:r>
    </w:p>
    <w:p>
      <w:pPr>
        <w:pStyle w:val="Style9"/>
        <w:framePr w:w="443" w:h="541" w:wrap="around" w:vAnchor="text" w:hAnchor="margin" w:x="9911" w:y="1338"/>
        <w:widowControl w:val="0"/>
        <w:keepNext w:val="0"/>
        <w:keepLines w:val="0"/>
        <w:shd w:val="clear" w:color="auto" w:fill="auto"/>
        <w:bidi w:val="0"/>
        <w:jc w:val="left"/>
        <w:spacing w:before="0" w:after="0" w:line="80" w:lineRule="exact"/>
        <w:ind w:left="100" w:right="0" w:firstLine="0"/>
      </w:pPr>
      <w:r>
        <w:rPr>
          <w:lang w:val="ru-RU" w:eastAsia="ru-RU" w:bidi="ru-RU"/>
          <w:w w:val="100"/>
          <w:spacing w:val="0"/>
          <w:color w:val="000000"/>
          <w:position w:val="0"/>
        </w:rPr>
        <w:t>Й.Й.;</w:t>
      </w:r>
    </w:p>
    <w:p>
      <w:pPr>
        <w:pStyle w:val="Style3"/>
        <w:framePr w:h="221" w:vSpace="235" w:wrap="around" w:vAnchor="text" w:hAnchor="margin" w:x="8241" w:y="1571"/>
        <w:widowControl w:val="0"/>
        <w:keepNext w:val="0"/>
        <w:keepLines w:val="0"/>
        <w:shd w:val="clear" w:color="auto" w:fill="auto"/>
        <w:bidi w:val="0"/>
        <w:jc w:val="left"/>
        <w:spacing w:before="0" w:after="0" w:line="220" w:lineRule="exact"/>
        <w:ind w:left="100" w:right="0" w:firstLine="0"/>
      </w:pPr>
      <w:r>
        <w:rPr>
          <w:rStyle w:val="CharStyle4"/>
          <w:spacing w:val="0"/>
        </w:rPr>
        <w:t>*</w:t>
      </w:r>
    </w:p>
    <w:p>
      <w:pPr>
        <w:widowControl w:val="0"/>
        <w:rPr>
          <w:sz w:val="2"/>
          <w:szCs w:val="2"/>
        </w:rPr>
      </w:pPr>
    </w:p>
    <w:p>
      <w:pPr>
        <w:pStyle w:val="Style11"/>
        <w:widowControl w:val="0"/>
        <w:keepNext w:val="0"/>
        <w:keepLines w:val="0"/>
        <w:shd w:val="clear" w:color="auto" w:fill="auto"/>
        <w:bidi w:val="0"/>
        <w:spacing w:before="0" w:after="124"/>
        <w:ind w:left="0" w:right="40" w:firstLine="0"/>
      </w:pPr>
      <w:r>
        <w:rPr>
          <w:lang w:val="ru-RU" w:eastAsia="ru-RU" w:bidi="ru-RU"/>
          <w:w w:val="100"/>
          <w:spacing w:val="0"/>
          <w:color w:val="000000"/>
          <w:position w:val="0"/>
        </w:rPr>
        <w:t>ФЕДЕРАЛЬНАЯ АНТИМОНОПОЛЬНАЯ СЛУЖБА</w:t>
      </w:r>
    </w:p>
    <w:p>
      <w:pPr>
        <w:pStyle w:val="Style11"/>
        <w:widowControl w:val="0"/>
        <w:keepNext w:val="0"/>
        <w:keepLines w:val="0"/>
        <w:shd w:val="clear" w:color="auto" w:fill="auto"/>
        <w:bidi w:val="0"/>
        <w:spacing w:before="0" w:after="0" w:line="235" w:lineRule="exact"/>
        <w:ind w:left="0" w:right="40" w:firstLine="0"/>
      </w:pPr>
      <w:r>
        <w:rPr>
          <w:rStyle w:val="CharStyle13"/>
          <w:b w:val="0"/>
          <w:bCs w:val="0"/>
        </w:rPr>
        <w:t xml:space="preserve">УПРАВЛЕНИЕ </w:t>
      </w:r>
      <w:r>
        <w:rPr>
          <w:lang w:val="ru-RU" w:eastAsia="ru-RU" w:bidi="ru-RU"/>
          <w:w w:val="100"/>
          <w:spacing w:val="0"/>
          <w:color w:val="000000"/>
          <w:position w:val="0"/>
        </w:rPr>
        <w:t>Федеральной антимонопольном</w:t>
      </w:r>
    </w:p>
    <w:p>
      <w:pPr>
        <w:pStyle w:val="Style14"/>
        <w:widowControl w:val="0"/>
        <w:keepNext w:val="0"/>
        <w:keepLines w:val="0"/>
        <w:shd w:val="clear" w:color="auto" w:fill="auto"/>
        <w:bidi w:val="0"/>
        <w:spacing w:before="0" w:after="640"/>
        <w:ind w:left="0" w:right="40" w:firstLine="0"/>
      </w:pPr>
      <w:r>
        <w:rPr>
          <w:lang w:val="ru-RU" w:eastAsia="ru-RU" w:bidi="ru-RU"/>
          <w:w w:val="100"/>
          <w:spacing w:val="0"/>
          <w:color w:val="000000"/>
          <w:position w:val="0"/>
        </w:rPr>
        <w:t xml:space="preserve">службы но Ханты-Мансийскому автономному округу - </w:t>
      </w:r>
      <w:r>
        <w:rPr>
          <w:rStyle w:val="CharStyle16"/>
        </w:rPr>
        <w:t xml:space="preserve">Югре </w:t>
      </w:r>
      <w:r>
        <w:rPr>
          <w:lang w:val="ru-RU" w:eastAsia="ru-RU" w:bidi="ru-RU"/>
          <w:w w:val="100"/>
          <w:spacing w:val="0"/>
          <w:color w:val="000000"/>
          <w:position w:val="0"/>
        </w:rPr>
        <w:t xml:space="preserve">уд. Мира, д, 27, Ханты-Мансийск, 628012 телефон/факс +7 (3467) 38-80-81 </w:t>
      </w:r>
      <w:r>
        <w:rPr>
          <w:lang w:val="en-US" w:eastAsia="en-US" w:bidi="en-US"/>
          <w:w w:val="100"/>
          <w:spacing w:val="0"/>
          <w:color w:val="000000"/>
          <w:position w:val="0"/>
        </w:rPr>
        <w:t xml:space="preserve">e-moil: </w:t>
      </w:r>
      <w:r>
        <w:fldChar w:fldCharType="begin"/>
      </w:r>
      <w:r>
        <w:rPr>
          <w:color w:val="000000"/>
        </w:rPr>
        <w:instrText> HYPERLINK "mailto:lo86@fas.gov.ru" </w:instrText>
      </w:r>
      <w:r>
        <w:fldChar w:fldCharType="separate"/>
      </w:r>
      <w:r>
        <w:rPr>
          <w:rStyle w:val="Hyperlink"/>
          <w:lang w:val="en-US" w:eastAsia="en-US" w:bidi="en-US"/>
          <w:w w:val="100"/>
          <w:spacing w:val="0"/>
          <w:position w:val="0"/>
        </w:rPr>
        <w:t>lo86@fas.gov.ru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сайт </w:t>
      </w:r>
      <w:r>
        <w:rPr>
          <w:lang w:val="en-US" w:eastAsia="en-US" w:bidi="en-US"/>
          <w:w w:val="100"/>
          <w:spacing w:val="0"/>
          <w:color w:val="000000"/>
          <w:position w:val="0"/>
        </w:rPr>
        <w:t xml:space="preserve">hup:/,'hrnao.fas.gov.ru </w:t>
      </w:r>
      <w:r>
        <w:rPr>
          <w:rStyle w:val="CharStyle17"/>
        </w:rPr>
        <w:t>ИНН 8601009316 КПП 860101001 ОГРН 1028600512093</w:t>
      </w:r>
    </w:p>
    <w:p>
      <w:pPr>
        <w:pStyle w:val="Style14"/>
        <w:tabs>
          <w:tab w:leader="none" w:pos="1973" w:val="left"/>
        </w:tabs>
        <w:widowControl w:val="0"/>
        <w:keepNext w:val="0"/>
        <w:keepLines w:val="0"/>
        <w:shd w:val="clear" w:color="auto" w:fill="auto"/>
        <w:bidi w:val="0"/>
        <w:jc w:val="both"/>
        <w:spacing w:before="0" w:after="557" w:line="180" w:lineRule="exact"/>
        <w:ind w:left="0" w:right="0" w:firstLine="0"/>
      </w:pPr>
      <w:r>
        <w:rPr>
          <w:lang w:val="ru-RU" w:eastAsia="ru-RU" w:bidi="ru-RU"/>
          <w:w w:val="100"/>
          <w:spacing w:val="0"/>
          <w:color w:val="000000"/>
          <w:position w:val="0"/>
        </w:rPr>
        <w:t>На №&gt;</w:t>
        <w:tab/>
      </w:r>
      <w:r>
        <w:rPr>
          <w:lang w:val="ru-RU" w:eastAsia="ru-RU" w:bidi="ru-RU"/>
          <w:vertAlign w:val="subscript"/>
          <w:w w:val="100"/>
          <w:spacing w:val="0"/>
          <w:color w:val="000000"/>
          <w:position w:val="0"/>
        </w:rPr>
        <w:t>от</w:t>
      </w:r>
    </w:p>
    <w:p>
      <w:pPr>
        <w:pStyle w:val="Style3"/>
        <w:widowControl w:val="0"/>
        <w:keepNext w:val="0"/>
        <w:keepLines w:val="0"/>
        <w:shd w:val="clear" w:color="auto" w:fill="auto"/>
        <w:bidi w:val="0"/>
        <w:jc w:val="left"/>
        <w:spacing w:before="0" w:after="0"/>
        <w:ind w:left="100" w:right="40" w:hanging="80"/>
      </w:pPr>
      <w:r>
        <w:rPr>
          <w:lang w:val="ru-RU" w:eastAsia="ru-RU" w:bidi="ru-RU"/>
          <w:w w:val="100"/>
          <w:spacing w:val="0"/>
          <w:color w:val="000000"/>
          <w:position w:val="0"/>
        </w:rPr>
        <w:t>Решение по жалобе №10935-ЭП/21-2' ООО "Радуга Вкуса"</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3"/>
        <w:tabs>
          <w:tab w:leader="none" w:pos="2694" w:val="right"/>
        </w:tabs>
        <w:widowControl w:val="0"/>
        <w:keepNext w:val="0"/>
        <w:keepLines w:val="0"/>
        <w:shd w:val="clear" w:color="auto" w:fill="auto"/>
        <w:bidi w:val="0"/>
        <w:jc w:val="left"/>
        <w:spacing w:before="0" w:after="0" w:line="274" w:lineRule="exact"/>
        <w:ind w:left="20" w:right="40" w:firstLine="0"/>
      </w:pPr>
      <w:r>
        <w:rPr>
          <w:lang w:val="ru-RU" w:eastAsia="ru-RU" w:bidi="ru-RU"/>
          <w:w w:val="100"/>
          <w:spacing w:val="0"/>
          <w:color w:val="000000"/>
          <w:position w:val="0"/>
        </w:rPr>
        <w:t xml:space="preserve">121151, г. Москва, набережная Шевченко, д. 23 А тел.: (495)7339519, (800) 7755800 </w:t>
      </w:r>
      <w:r>
        <w:rPr>
          <w:lang w:val="en-US" w:eastAsia="en-US" w:bidi="en-US"/>
          <w:w w:val="100"/>
          <w:spacing w:val="0"/>
          <w:color w:val="000000"/>
          <w:position w:val="0"/>
        </w:rPr>
        <w:t xml:space="preserve">e-mail: </w:t>
      </w:r>
      <w:r>
        <w:rPr>
          <w:rStyle w:val="CharStyle19"/>
        </w:rPr>
        <w:t>ko@its-tender.m</w:t>
      </w:r>
      <w:r>
        <w:rPr>
          <w:lang w:val="en-US" w:eastAsia="en-US" w:bidi="en-US"/>
          <w:w w:val="100"/>
          <w:spacing w:val="0"/>
          <w:color w:val="000000"/>
          <w:position w:val="0"/>
        </w:rPr>
        <w:t xml:space="preserve"> </w:t>
      </w:r>
      <w:r>
        <w:rPr>
          <w:lang w:val="ru-RU" w:eastAsia="ru-RU" w:bidi="ru-RU"/>
          <w:w w:val="100"/>
          <w:spacing w:val="0"/>
          <w:color w:val="000000"/>
          <w:position w:val="0"/>
        </w:rPr>
        <w:t>Заявитель:</w:t>
        <w:tab/>
        <w:t>*</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«Радуга Вкуса»</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628417, г. Сургут, ул. Островского, 47,</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сооружение 4</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8 (922) 797-03-70</w:t>
      </w:r>
    </w:p>
    <w:p>
      <w:pPr>
        <w:pStyle w:val="Style3"/>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"mailto:shikula-a@mail.ru" </w:instrText>
      </w:r>
      <w:r>
        <w:fldChar w:fldCharType="separate"/>
      </w:r>
      <w:r>
        <w:rPr>
          <w:rStyle w:val="Hyperlink"/>
          <w:lang w:val="en-US" w:eastAsia="en-US" w:bidi="en-US"/>
          <w:w w:val="100"/>
          <w:spacing w:val="0"/>
          <w:position w:val="0"/>
        </w:rPr>
        <w:t>shikula-a@mail.ru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 </w:t>
      </w:r>
      <w:r>
        <w:rPr>
          <w:rStyle w:val="CharStyle20"/>
        </w:rPr>
        <w:t>%</w:t>
      </w:r>
    </w:p>
    <w:p>
      <w:pPr>
        <w:pStyle w:val="Style3"/>
        <w:tabs>
          <w:tab w:leader="none" w:pos="4974"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Заказчик:</w:t>
        <w:tab/>
      </w:r>
      <w:r>
        <w:rPr>
          <w:lang w:val="ru-RU" w:eastAsia="ru-RU" w:bidi="ru-RU"/>
          <w:vertAlign w:val="subscript"/>
          <w:w w:val="100"/>
          <w:spacing w:val="0"/>
          <w:color w:val="000000"/>
          <w:position w:val="0"/>
        </w:rPr>
        <w:t>?(</w:t>
      </w:r>
    </w:p>
    <w:p>
      <w:pPr>
        <w:pStyle w:val="Style3"/>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 xml:space="preserve">Бюджетное учреждение Ханты-Мансииского. автономного округа </w:t>
      </w:r>
      <w:r>
        <w:rPr>
          <w:lang w:val="en-US" w:eastAsia="en-US" w:bidi="en-US"/>
          <w:w w:val="100"/>
          <w:spacing w:val="0"/>
          <w:color w:val="000000"/>
          <w:position w:val="0"/>
        </w:rPr>
        <w:t xml:space="preserve">--'^TOip# </w:t>
      </w:r>
      <w:r>
        <w:rPr>
          <w:lang w:val="ru-RU" w:eastAsia="ru-RU" w:bidi="ru-RU"/>
          <w:w w:val="100"/>
          <w:spacing w:val="0"/>
          <w:color w:val="000000"/>
          <w:position w:val="0"/>
        </w:rPr>
        <w:t>«Сургутская окружная клиническая больница»</w:t>
      </w:r>
    </w:p>
    <w:p>
      <w:pPr>
        <w:pStyle w:val="Style3"/>
        <w:widowControl w:val="0"/>
        <w:keepNext w:val="0"/>
        <w:keepLines w:val="0"/>
        <w:shd w:val="clear" w:color="auto" w:fill="auto"/>
        <w:bidi w:val="0"/>
        <w:jc w:val="left"/>
        <w:spacing w:before="0" w:after="0" w:line="274" w:lineRule="exact"/>
        <w:ind w:left="20" w:right="40" w:firstLine="0"/>
        <w:sectPr>
          <w:footnotePr>
            <w:pos w:val="pageBottom"/>
            <w:numFmt w:val="decimal"/>
            <w:numRestart w:val="continuous"/>
          </w:footnotePr>
          <w:type w:val="continuous"/>
          <w:pgSz w:w="11906" w:h="16838"/>
          <w:pgMar w:top="1013" w:left="740" w:right="946" w:bottom="1819" w:header="0" w:footer="3" w:gutter="0"/>
          <w:rtlGutter w:val="0"/>
          <w:cols w:num="2" w:space="720" w:equalWidth="0">
            <w:col w:w="4056" w:space="1181"/>
            <w:col w:w="4982"/>
          </w:cols>
          <w:noEndnote/>
          <w:docGrid w:linePitch="360"/>
        </w:sectPr>
      </w:pPr>
      <w:r>
        <w:rPr>
          <w:lang w:val="ru-RU" w:eastAsia="ru-RU" w:bidi="ru-RU"/>
          <w:w w:val="100"/>
          <w:spacing w:val="0"/>
          <w:color w:val="000000"/>
          <w:position w:val="0"/>
        </w:rPr>
        <w:t xml:space="preserve">628408, г. Сургут, ул. Энергетиков, 24/корпус 2 Тел./Факс: 8 (3462) 52-73-25 </w:t>
      </w:r>
      <w:r>
        <w:rPr>
          <w:lang w:val="en-US" w:eastAsia="en-US" w:bidi="en-US"/>
          <w:w w:val="100"/>
          <w:spacing w:val="0"/>
          <w:color w:val="000000"/>
          <w:position w:val="0"/>
        </w:rPr>
        <w:t xml:space="preserve">e-mail: </w:t>
      </w:r>
      <w:r>
        <w:fldChar w:fldCharType="begin"/>
      </w:r>
      <w:r>
        <w:rPr>
          <w:rStyle w:val="CharStyle19"/>
        </w:rPr>
        <w:instrText> HYPERLINK "mailto:KostinaAA@surgiitokb.nl" </w:instrText>
      </w:r>
      <w:r>
        <w:fldChar w:fldCharType="separate"/>
      </w:r>
      <w:r>
        <w:rPr>
          <w:rStyle w:val="Hyperlink"/>
        </w:rPr>
        <w:t>KostinaAA@surgiitokb.nl</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1028" w:left="4028" w:right="4042" w:bottom="1834" w:header="0" w:footer="3" w:gutter="0"/>
          <w:rtlGutter w:val="0"/>
          <w:cols w:space="720"/>
          <w:noEndnote/>
          <w:docGrid w:linePitch="360"/>
        </w:sectPr>
      </w:pPr>
      <w:r>
        <w:rPr>
          <w:lang w:val="ru-RU" w:eastAsia="ru-RU" w:bidi="ru-RU"/>
          <w:w w:val="100"/>
          <w:spacing w:val="0"/>
          <w:color w:val="000000"/>
          <w:position w:val="0"/>
        </w:rPr>
        <w:t>РЕШЕНИЕ № 086/06/7-1692/2021</w:t>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6" w:wrap="around" w:vAnchor="text" w:hAnchor="margin" w:x="7694" w:y="6"/>
        <w:widowControl w:val="0"/>
        <w:keepNext w:val="0"/>
        <w:keepLines w:val="0"/>
        <w:shd w:val="clear" w:color="auto" w:fill="auto"/>
        <w:bidi w:val="0"/>
        <w:jc w:val="left"/>
        <w:spacing w:before="0" w:after="0" w:line="220" w:lineRule="exact"/>
        <w:ind w:left="100" w:right="0" w:firstLine="0"/>
      </w:pPr>
      <w:r>
        <w:rPr>
          <w:rStyle w:val="CharStyle4"/>
          <w:spacing w:val="0"/>
        </w:rPr>
        <w:t>г. Ханты-Мансийск</w:t>
      </w:r>
    </w:p>
    <w:p>
      <w:pPr>
        <w:pStyle w:val="Style3"/>
        <w:widowControl w:val="0"/>
        <w:keepNext w:val="0"/>
        <w:keepLines w:val="0"/>
        <w:shd w:val="clear" w:color="auto" w:fill="auto"/>
        <w:bidi w:val="0"/>
        <w:jc w:val="left"/>
        <w:spacing w:before="0" w:after="236" w:line="264" w:lineRule="exact"/>
        <w:ind w:left="20" w:right="3480" w:firstLine="0"/>
      </w:pPr>
      <w:r>
        <w:rPr>
          <w:lang w:val="ru-RU" w:eastAsia="ru-RU" w:bidi="ru-RU"/>
          <w:w w:val="100"/>
          <w:spacing w:val="0"/>
          <w:color w:val="000000"/>
          <w:position w:val="0"/>
        </w:rPr>
        <w:t>Резолютивная часть объявлена 11.11.2021 Изготовлено в полном объеме 16.11.2021</w:t>
      </w:r>
    </w:p>
    <w:p>
      <w:pPr>
        <w:pStyle w:val="Style3"/>
        <w:widowControl w:val="0"/>
        <w:keepNext w:val="0"/>
        <w:keepLines w:val="0"/>
        <w:shd w:val="clear" w:color="auto" w:fill="auto"/>
        <w:bidi w:val="0"/>
        <w:jc w:val="both"/>
        <w:spacing w:before="0" w:after="271" w:line="269" w:lineRule="exact"/>
        <w:ind w:left="20" w:right="3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3"/>
        <w:widowControl w:val="0"/>
        <w:keepNext w:val="0"/>
        <w:keepLines w:val="0"/>
        <w:shd w:val="clear" w:color="auto" w:fill="auto"/>
        <w:bidi w:val="0"/>
        <w:jc w:val="both"/>
        <w:spacing w:before="0" w:after="0" w:line="230" w:lineRule="exact"/>
        <w:ind w:left="20" w:right="0" w:firstLine="700"/>
      </w:pPr>
      <w:r>
        <w:rPr>
          <w:lang w:val="ru-RU" w:eastAsia="ru-RU" w:bidi="ru-RU"/>
          <w:w w:val="100"/>
          <w:spacing w:val="0"/>
          <w:color w:val="000000"/>
          <w:position w:val="0"/>
        </w:rPr>
        <w:t>Председатель комиссии:</w:t>
      </w:r>
    </w:p>
    <w:p>
      <w:pPr>
        <w:pStyle w:val="Style3"/>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Иванов В .П. - Заместитель руководителя Управления;</w:t>
      </w:r>
    </w:p>
    <w:p>
      <w:pPr>
        <w:pStyle w:val="Style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Членов комиссии:</w:t>
      </w:r>
    </w:p>
    <w:p>
      <w:pPr>
        <w:pStyle w:val="Style3"/>
        <w:numPr>
          <w:ilvl w:val="0"/>
          <w:numId w:val="1"/>
        </w:numPr>
        <w:tabs>
          <w:tab w:leader="none" w:pos="10238" w:val="righ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Моршель А.М. - Специалист-эксперт отдела Управления;</w:t>
        <w:tab/>
        <w:t>л</w:t>
      </w:r>
    </w:p>
    <w:p>
      <w:pPr>
        <w:pStyle w:val="Style3"/>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Михайлова О.Н. - Старший специалист 1 разряда отдела Управления,</w:t>
      </w:r>
    </w:p>
    <w:p>
      <w:pPr>
        <w:pStyle w:val="Style3"/>
        <w:widowControl w:val="0"/>
        <w:keepNext w:val="0"/>
        <w:keepLines w:val="0"/>
        <w:shd w:val="clear" w:color="auto" w:fill="auto"/>
        <w:bidi w:val="0"/>
        <w:jc w:val="left"/>
        <w:spacing w:before="0" w:after="153" w:line="230" w:lineRule="exact"/>
        <w:ind w:left="8520" w:right="0" w:firstLine="0"/>
      </w:pPr>
      <w:r>
        <w:rPr>
          <w:lang w:val="ru-RU" w:eastAsia="ru-RU" w:bidi="ru-RU"/>
          <w:w w:val="100"/>
          <w:spacing w:val="0"/>
          <w:color w:val="000000"/>
          <w:position w:val="0"/>
        </w:rPr>
        <w:t>'</w:t>
      </w:r>
      <w:r>
        <w:rPr>
          <w:lang w:val="ru-RU" w:eastAsia="ru-RU" w:bidi="ru-RU"/>
          <w:vertAlign w:val="superscript"/>
          <w:w w:val="100"/>
          <w:spacing w:val="0"/>
          <w:color w:val="000000"/>
          <w:position w:val="0"/>
        </w:rPr>
        <w:t>4</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 xml:space="preserve">от Заявителя - посредством видеоконференц-связи Саяпин М.П. по доверенности № 2 от </w:t>
      </w:r>
      <w:r>
        <w:rPr>
          <w:rStyle w:val="CharStyle21"/>
        </w:rPr>
        <w:t>10</w:t>
      </w:r>
      <w:r>
        <w:rPr>
          <w:rStyle w:val="CharStyle22"/>
        </w:rPr>
        <w:t>.</w:t>
      </w:r>
      <w:r>
        <w:rPr>
          <w:rStyle w:val="CharStyle21"/>
        </w:rPr>
        <w:t>11</w:t>
      </w:r>
      <w:r>
        <w:rPr>
          <w:rStyle w:val="CharStyle22"/>
        </w:rPr>
        <w:t>.</w:t>
      </w:r>
      <w:r>
        <w:rPr>
          <w:rStyle w:val="CharStyle21"/>
        </w:rPr>
        <w:t>2021</w:t>
      </w:r>
      <w:r>
        <w:rPr>
          <w:rStyle w:val="CharStyle22"/>
        </w:rPr>
        <w:t>;</w:t>
      </w:r>
    </w:p>
    <w:p>
      <w:pPr>
        <w:pStyle w:val="Style3"/>
        <w:widowControl w:val="0"/>
        <w:keepNext w:val="0"/>
        <w:keepLines w:val="0"/>
        <w:shd w:val="clear" w:color="auto" w:fill="auto"/>
        <w:bidi w:val="0"/>
        <w:jc w:val="both"/>
        <w:spacing w:before="0" w:after="240" w:line="274" w:lineRule="exact"/>
        <w:ind w:left="20" w:right="320" w:firstLine="700"/>
      </w:pPr>
      <w:r>
        <w:rPr>
          <w:lang w:val="ru-RU" w:eastAsia="ru-RU" w:bidi="ru-RU"/>
          <w:w w:val="100"/>
          <w:spacing w:val="0"/>
          <w:color w:val="000000"/>
          <w:position w:val="0"/>
        </w:rPr>
        <w:t xml:space="preserve">от Заказчика - посредством видеоконференц-связи Пономаренко С.И, по доверенности </w:t>
      </w:r>
      <w:r>
        <w:rPr>
          <w:lang w:val="en-US" w:eastAsia="en-US" w:bidi="en-US"/>
          <w:w w:val="100"/>
          <w:spacing w:val="0"/>
          <w:color w:val="000000"/>
          <w:position w:val="0"/>
        </w:rPr>
        <w:t xml:space="preserve">No </w:t>
      </w:r>
      <w:r>
        <w:rPr>
          <w:lang w:val="ru-RU" w:eastAsia="ru-RU" w:bidi="ru-RU"/>
          <w:w w:val="100"/>
          <w:spacing w:val="0"/>
          <w:color w:val="000000"/>
          <w:position w:val="0"/>
        </w:rPr>
        <w:t>б/н от 10.11.2021, Ахмедова О.О. по доверенности № б/н от 10.И.2021,Костина А.А. по доверенности № б/н от 10.11.2021, Жижикина Н.А. по доверенности № б/н от 11.11.2021,</w:t>
      </w:r>
    </w:p>
    <w:p>
      <w:pPr>
        <w:pStyle w:val="Style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рассмотрев жалобу ООО «Радуга Вкуса» (ИНН: 8602280328; ОГРН: 1178617016159) от*</w:t>
      </w:r>
    </w:p>
    <w:p>
      <w:pPr>
        <w:pStyle w:val="Style3"/>
        <w:numPr>
          <w:ilvl w:val="0"/>
          <w:numId w:val="3"/>
        </w:numPr>
        <w:tabs>
          <w:tab w:leader="none" w:pos="1326" w:val="left"/>
        </w:tabs>
        <w:widowControl w:val="0"/>
        <w:keepNext w:val="0"/>
        <w:keepLines w:val="0"/>
        <w:shd w:val="clear" w:color="auto" w:fill="auto"/>
        <w:bidi w:val="0"/>
        <w:jc w:val="both"/>
        <w:spacing w:before="0" w:after="0" w:line="274" w:lineRule="exact"/>
        <w:ind w:left="20" w:right="320" w:firstLine="0"/>
      </w:pPr>
      <w:r>
        <w:rPr>
          <w:lang w:val="ru-RU" w:eastAsia="ru-RU" w:bidi="ru-RU"/>
          <w:w w:val="100"/>
          <w:spacing w:val="0"/>
          <w:color w:val="000000"/>
          <w:position w:val="0"/>
        </w:rPr>
        <w:t>№&gt;10935-ЭП/21-2, на действия Заказчика — Бюджетное учреждение Ханты- Мансийского автономного округа - Югры «Сургутская окружная клиническая больница», при проведении конкурса с ограниченным участием в электронной форме, предметом которого</w:t>
      </w:r>
      <w:r>
        <w:br w:type="page"/>
      </w:r>
    </w:p>
    <w:p>
      <w:pPr>
        <w:pStyle w:val="Style3"/>
        <w:widowControl w:val="0"/>
        <w:keepNext w:val="0"/>
        <w:keepLines w:val="0"/>
        <w:shd w:val="clear" w:color="auto" w:fill="auto"/>
        <w:bidi w:val="0"/>
        <w:jc w:val="both"/>
        <w:spacing w:before="0" w:after="0" w:line="274" w:lineRule="exact"/>
        <w:ind w:left="160" w:right="20" w:hanging="160"/>
      </w:pPr>
      <w:r>
        <w:rPr>
          <w:lang w:val="ru-RU" w:eastAsia="ru-RU" w:bidi="ru-RU"/>
          <w:w w:val="100"/>
          <w:spacing w:val="0"/>
          <w:color w:val="000000"/>
          <w:position w:val="0"/>
        </w:rPr>
        <w:t xml:space="preserve">^является поставка продуктов питания в медицинское учреждение для производства лечебного питания пациентов (говядина замороженная) (извещение №0387200000921000488)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3"/>
        <w:widowControl w:val="0"/>
        <w:keepNext w:val="0"/>
        <w:keepLines w:val="0"/>
        <w:shd w:val="clear" w:color="auto" w:fill="auto"/>
        <w:bidi w:val="0"/>
        <w:spacing w:before="0" w:after="0"/>
        <w:ind w:left="0" w:right="14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74" w:lineRule="exact"/>
        <w:ind w:left="16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«Радуга Вкуса» (ИНН: 8602280328; ОГРН: 1178617016159) от 03.11.2021 №10935-ЭП/21-2, на действия Заказчика, при проведении конкурса сюграниченным участием в электронной форме, предметом которого является поставка продуктов питания в медицинское учреждение для производства лечебного питания пациентов (говядина замороженная) (извещение №0387200000921000488).</w:t>
      </w:r>
    </w:p>
    <w:p>
      <w:pPr>
        <w:pStyle w:val="Style3"/>
        <w:widowControl w:val="0"/>
        <w:keepNext w:val="0"/>
        <w:keepLines w:val="0"/>
        <w:shd w:val="clear" w:color="auto" w:fill="auto"/>
        <w:bidi w:val="0"/>
        <w:jc w:val="both"/>
        <w:spacing w:before="0" w:after="0" w:line="274" w:lineRule="exact"/>
        <w:ind w:left="160" w:right="0" w:firstLine="720"/>
      </w:pPr>
      <w:r>
        <w:rPr>
          <w:lang w:val="ru-RU" w:eastAsia="ru-RU" w:bidi="ru-RU"/>
          <w:w w:val="100"/>
          <w:spacing w:val="0"/>
          <w:color w:val="000000"/>
          <w:position w:val="0"/>
        </w:rPr>
        <w:t>В доводах жалобы Заявитель указал следующее:</w:t>
      </w:r>
    </w:p>
    <w:p>
      <w:pPr>
        <w:pStyle w:val="Style3"/>
        <w:numPr>
          <w:ilvl w:val="0"/>
          <w:numId w:val="5"/>
        </w:numPr>
        <w:tabs>
          <w:tab w:leader="none" w:pos="8282" w:val="left"/>
          <w:tab w:leader="underscore" w:pos="9089" w:val="left"/>
          <w:tab w:leader="underscore" w:pos="9011" w:val="left"/>
          <w:tab w:leader="none" w:pos="1586" w:val="left"/>
        </w:tabs>
        <w:widowControl w:val="0"/>
        <w:keepNext w:val="0"/>
        <w:keepLines w:val="0"/>
        <w:shd w:val="clear" w:color="auto" w:fill="auto"/>
        <w:bidi w:val="0"/>
        <w:jc w:val="both"/>
        <w:spacing w:before="0" w:after="0" w:line="274" w:lineRule="exact"/>
        <w:ind w:left="160" w:right="20" w:firstLine="720"/>
      </w:pPr>
      <w:r>
        <w:rPr>
          <w:lang w:val="ru-RU" w:eastAsia="ru-RU" w:bidi="ru-RU"/>
          <w:w w:val="100"/>
          <w:spacing w:val="0"/>
          <w:color w:val="000000"/>
          <w:position w:val="0"/>
        </w:rPr>
        <w:t xml:space="preserve">Заказчиком в конкурсной документации установлены следующие показатели нестоимостного критерия, часть которых не связана с предметом закупки и создают </w:t>
      </w:r>
      <w:r>
        <w:rPr>
          <w:rStyle w:val="CharStyle19"/>
          <w:lang w:val="ru-RU" w:eastAsia="ru-RU" w:bidi="ru-RU"/>
        </w:rPr>
        <w:t>преимущественные условия для отдельных участников:</w:t>
      </w:r>
      <w:r>
        <w:rPr>
          <w:lang w:val="ru-RU" w:eastAsia="ru-RU" w:bidi="ru-RU"/>
          <w:w w:val="100"/>
          <w:spacing w:val="0"/>
          <w:color w:val="000000"/>
          <w:position w:val="0"/>
        </w:rPr>
        <w:tab/>
        <w:tab/>
        <w:tab/>
      </w:r>
    </w:p>
    <w:tbl>
      <w:tblPr>
        <w:tblOverlap w:val="never"/>
        <w:tblLayout w:type="fixed"/>
        <w:jc w:val="center"/>
      </w:tblPr>
      <w:tblGrid>
        <w:gridCol w:w="677"/>
        <w:gridCol w:w="4800"/>
        <w:gridCol w:w="2822"/>
        <w:gridCol w:w="1565"/>
      </w:tblGrid>
      <w:tr>
        <w:trPr>
          <w:trHeight w:val="1675" w:hRule="exact"/>
        </w:trPr>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60" w:line="230" w:lineRule="exact"/>
              <w:ind w:left="200" w:right="0" w:firstLine="0"/>
            </w:pPr>
            <w:r>
              <w:rPr>
                <w:rStyle w:val="CharStyle25"/>
              </w:rPr>
              <w:t>№</w:t>
            </w:r>
          </w:p>
          <w:p>
            <w:pPr>
              <w:pStyle w:val="Style3"/>
              <w:framePr w:w="9864" w:wrap="notBeside" w:vAnchor="text" w:hAnchor="text" w:xAlign="center" w:y="1"/>
              <w:widowControl w:val="0"/>
              <w:keepNext w:val="0"/>
              <w:keepLines w:val="0"/>
              <w:shd w:val="clear" w:color="auto" w:fill="auto"/>
              <w:bidi w:val="0"/>
              <w:jc w:val="left"/>
              <w:spacing w:before="60" w:after="0" w:line="230" w:lineRule="exact"/>
              <w:ind w:left="200" w:right="0" w:firstLine="0"/>
            </w:pPr>
            <w:r>
              <w:rPr>
                <w:rStyle w:val="CharStyle25"/>
              </w:rPr>
              <w:t>п/п</w:t>
            </w:r>
          </w:p>
        </w:tc>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5"/>
              </w:rPr>
              <w:t>Показатели критерия</w:t>
            </w:r>
          </w:p>
        </w:tc>
        <w:tc>
          <w:tcPr>
            <w:shd w:val="clear" w:color="auto" w:fill="FFFFFF"/>
            <w:tcBorders>
              <w:left w:val="single" w:sz="4"/>
              <w:top w:val="single" w:sz="4"/>
            </w:tcBorders>
            <w:vAlign w:val="bottom"/>
          </w:tcPr>
          <w:p>
            <w:pPr>
              <w:pStyle w:val="Style3"/>
              <w:framePr w:w="986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5"/>
              </w:rPr>
              <w:t>Шкала оценки / предельно необходимое минимальное или максимальное количественное значение характеристик*</w:t>
            </w:r>
          </w:p>
        </w:tc>
        <w:tc>
          <w:tcPr>
            <w:shd w:val="clear" w:color="auto" w:fill="FFFFFF"/>
            <w:tcBorders>
              <w:left w:val="single" w:sz="4"/>
              <w:righ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5"/>
              </w:rPr>
              <w:t>Значимость</w:t>
            </w:r>
          </w:p>
        </w:tc>
      </w:tr>
      <w:tr>
        <w:trPr>
          <w:trHeight w:val="1382" w:hRule="exact"/>
        </w:trPr>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5"/>
              </w:rPr>
              <w:t>1</w:t>
            </w:r>
          </w:p>
        </w:tc>
        <w:tc>
          <w:tcPr>
            <w:shd w:val="clear" w:color="auto" w:fill="FFFFFF"/>
            <w:tcBorders>
              <w:left w:val="single" w:sz="4"/>
              <w:top w:val="single" w:sz="4"/>
            </w:tcBorders>
            <w:vAlign w:val="bottom"/>
          </w:tcPr>
          <w:p>
            <w:pPr>
              <w:pStyle w:val="Style3"/>
              <w:framePr w:w="986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5"/>
              </w:rPr>
              <w:t>Наличие финансовых ресурсов: совокупный годовой оборот денежных средств не менее 1300 000 000 руб. за последние 3 года , подтверждается копиями бухгалтерской отчетности</w:t>
            </w:r>
          </w:p>
        </w:tc>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5"/>
              </w:rPr>
              <w:t>Отсутствие - 0 баллов Наличие - 100 баллов</w:t>
            </w:r>
          </w:p>
        </w:tc>
        <w:tc>
          <w:tcPr>
            <w:shd w:val="clear" w:color="auto" w:fill="FFFFFF"/>
            <w:tcBorders>
              <w:left w:val="single" w:sz="4"/>
              <w:righ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5"/>
              </w:rPr>
              <w:t>30%</w:t>
            </w:r>
          </w:p>
        </w:tc>
      </w:tr>
      <w:tr>
        <w:trPr>
          <w:trHeight w:val="3869" w:hRule="exact"/>
        </w:trPr>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6"/>
              </w:rPr>
              <w:t>2</w:t>
            </w:r>
          </w:p>
        </w:tc>
        <w:tc>
          <w:tcPr>
            <w:shd w:val="clear" w:color="auto" w:fill="FFFFFF"/>
            <w:tcBorders>
              <w:left w:val="single" w:sz="4"/>
              <w:top w:val="single" w:sz="4"/>
            </w:tcBorders>
            <w:vAlign w:val="bottom"/>
          </w:tcPr>
          <w:p>
            <w:pPr>
              <w:pStyle w:val="Style3"/>
              <w:framePr w:w="986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5"/>
              </w:rPr>
              <w:t>Ведомственные награды и звания (выданные органами власти) у сотрудников, состоящих в штате участника закупки на пос¥однной основе, по основному виду деятельности организации (сельскохозяйственная направленность, оптовой и (или) розничной торговли продуктов питания)</w:t>
            </w:r>
          </w:p>
          <w:p>
            <w:pPr>
              <w:pStyle w:val="Style3"/>
              <w:framePr w:w="986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5"/>
              </w:rPr>
              <w:t>Прикладываются награды и звания: грамоты, благодарности, благодарственные письма, удостоверения о выдаче наград, приказы, документы, подтверждающие звание сотрудников, копий трудовых книжек.</w:t>
            </w:r>
          </w:p>
        </w:tc>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5"/>
              </w:rPr>
              <w:t>Отсутствуют - 0 баллов; От 1 до 10 - 50 баллов; Свыше 10-100 баллов</w:t>
            </w:r>
          </w:p>
        </w:tc>
        <w:tc>
          <w:tcPr>
            <w:shd w:val="clear" w:color="auto" w:fill="FFFFFF"/>
            <w:tcBorders>
              <w:left w:val="single" w:sz="4"/>
              <w:righ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5"/>
              </w:rPr>
              <w:t>10%</w:t>
            </w:r>
          </w:p>
        </w:tc>
      </w:tr>
      <w:tr>
        <w:trPr>
          <w:trHeight w:val="1387" w:hRule="exact"/>
        </w:trPr>
        <w:tc>
          <w:tcPr>
            <w:shd w:val="clear" w:color="auto" w:fill="FFFFFF"/>
            <w:tcBorders>
              <w:lef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5"/>
              </w:rPr>
              <w:t>3</w:t>
            </w:r>
          </w:p>
        </w:tc>
        <w:tc>
          <w:tcPr>
            <w:shd w:val="clear" w:color="auto" w:fill="FFFFFF"/>
            <w:tcBorders>
              <w:left w:val="single" w:sz="4"/>
              <w:top w:val="single" w:sz="4"/>
            </w:tcBorders>
            <w:vAlign w:val="bottom"/>
          </w:tcPr>
          <w:p>
            <w:pPr>
              <w:pStyle w:val="Style3"/>
              <w:framePr w:w="986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5"/>
              </w:rPr>
              <w:t>Обеспеченность участника трудовыми ресурсами необходимыми для надлежащего исполнения контракта. Подтверждается наличиемтюпий трудовых книжек.</w:t>
            </w:r>
          </w:p>
        </w:tc>
        <w:tc>
          <w:tcPr>
            <w:shd w:val="clear" w:color="auto" w:fill="FFFFFF"/>
            <w:tcBorders>
              <w:left w:val="single" w:sz="4"/>
              <w:top w:val="single" w:sz="4"/>
            </w:tcBorders>
            <w:vAlign w:val="top"/>
          </w:tcPr>
          <w:p>
            <w:pPr>
              <w:pStyle w:val="Style3"/>
              <w:framePr w:w="986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5"/>
              </w:rPr>
              <w:t>отсутствуют - 0 баллов; от 1 до 20 - 10 баллов; от 21 до 60 - 50 баллов; от 61 и выше - 100 баллов.</w:t>
            </w:r>
          </w:p>
        </w:tc>
        <w:tc>
          <w:tcPr>
            <w:shd w:val="clear" w:color="auto" w:fill="FFFFFF"/>
            <w:tcBorders>
              <w:left w:val="single" w:sz="4"/>
              <w:right w:val="single" w:sz="4"/>
              <w:top w:val="single" w:sz="4"/>
            </w:tcBorders>
            <w:vAlign w:val="center"/>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5"/>
              </w:rPr>
              <w:t>20%</w:t>
            </w:r>
          </w:p>
        </w:tc>
      </w:tr>
      <w:tr>
        <w:trPr>
          <w:trHeight w:val="1426" w:hRule="exact"/>
        </w:trPr>
        <w:tc>
          <w:tcPr>
            <w:shd w:val="clear" w:color="auto" w:fill="FFFFFF"/>
            <w:tcBorders>
              <w:left w:val="single" w:sz="4"/>
              <w:top w:val="single" w:sz="4"/>
              <w:bottom w:val="single" w:sz="4"/>
            </w:tcBorders>
            <w:vAlign w:val="top"/>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5"/>
              </w:rPr>
              <w:t>4</w:t>
            </w:r>
          </w:p>
        </w:tc>
        <w:tc>
          <w:tcPr>
            <w:shd w:val="clear" w:color="auto" w:fill="FFFFFF"/>
            <w:tcBorders>
              <w:left w:val="single" w:sz="4"/>
              <w:top w:val="single" w:sz="4"/>
              <w:bottom w:val="single" w:sz="4"/>
            </w:tcBorders>
            <w:vAlign w:val="bottom"/>
          </w:tcPr>
          <w:p>
            <w:pPr>
              <w:pStyle w:val="Style3"/>
              <w:framePr w:w="9864" w:wrap="notBeside" w:vAnchor="text" w:hAnchor="text" w:xAlign="center" w:y="1"/>
              <w:widowControl w:val="0"/>
              <w:keepNext w:val="0"/>
              <w:keepLines w:val="0"/>
              <w:shd w:val="clear" w:color="auto" w:fill="auto"/>
              <w:bidi w:val="0"/>
              <w:jc w:val="both"/>
              <w:spacing w:before="0" w:after="0"/>
              <w:ind w:left="0" w:right="0" w:firstLine="0"/>
            </w:pPr>
            <w:r>
              <w:rPr>
                <w:rStyle w:val="CharStyle25"/>
              </w:rPr>
              <w:t>Наличие складских помещений для хранения продуктов, отвечающих санитарным нормам</w:t>
            </w:r>
          </w:p>
          <w:p>
            <w:pPr>
              <w:pStyle w:val="Style3"/>
              <w:framePr w:w="9864" w:wrap="notBeside" w:vAnchor="text" w:hAnchor="text" w:xAlign="center" w:y="1"/>
              <w:widowControl w:val="0"/>
              <w:keepNext w:val="0"/>
              <w:keepLines w:val="0"/>
              <w:shd w:val="clear" w:color="auto" w:fill="auto"/>
              <w:bidi w:val="0"/>
              <w:jc w:val="both"/>
              <w:spacing w:before="0" w:after="0"/>
              <w:ind w:left="0" w:right="0" w:firstLine="0"/>
            </w:pPr>
            <w:r>
              <w:rPr>
                <w:rStyle w:val="CharStyle25"/>
              </w:rPr>
              <w:t>Подтверждается приложением копий документов, подтверждающих право</w:t>
            </w:r>
          </w:p>
        </w:tc>
        <w:tc>
          <w:tcPr>
            <w:shd w:val="clear" w:color="auto" w:fill="FFFFFF"/>
            <w:tcBorders>
              <w:left w:val="single" w:sz="4"/>
              <w:top w:val="single" w:sz="4"/>
              <w:bottom w:val="single" w:sz="4"/>
            </w:tcBorders>
            <w:vAlign w:val="bottom"/>
          </w:tcPr>
          <w:p>
            <w:pPr>
              <w:pStyle w:val="Style3"/>
              <w:framePr w:w="9864" w:wrap="notBeside" w:vAnchor="text" w:hAnchor="text" w:xAlign="center" w:y="1"/>
              <w:widowControl w:val="0"/>
              <w:keepNext w:val="0"/>
              <w:keepLines w:val="0"/>
              <w:shd w:val="clear" w:color="auto" w:fill="auto"/>
              <w:bidi w:val="0"/>
              <w:jc w:val="left"/>
              <w:spacing w:before="0" w:after="0"/>
              <w:ind w:left="120" w:right="0" w:firstLine="0"/>
            </w:pPr>
            <w:r>
              <w:rPr>
                <w:rStyle w:val="CharStyle25"/>
              </w:rPr>
              <w:t>отсутствуют - 0 баллов; наличие складов&lt; 4500 м2 - 50 баллов; наличие складов &gt;4500 м2 - 100 баллов.</w:t>
            </w:r>
          </w:p>
        </w:tc>
        <w:tc>
          <w:tcPr>
            <w:shd w:val="clear" w:color="auto" w:fill="FFFFFF"/>
            <w:tcBorders>
              <w:left w:val="single" w:sz="4"/>
              <w:right w:val="single" w:sz="4"/>
              <w:top w:val="single" w:sz="4"/>
              <w:bottom w:val="single" w:sz="4"/>
            </w:tcBorders>
            <w:vAlign w:val="top"/>
          </w:tcPr>
          <w:p>
            <w:pPr>
              <w:pStyle w:val="Style3"/>
              <w:framePr w:w="986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5"/>
              </w:rPr>
              <w:t>20%</w:t>
            </w:r>
          </w:p>
        </w:tc>
      </w:tr>
    </w:tbl>
    <w:p>
      <w:pPr>
        <w:widowControl w:val="0"/>
        <w:rPr>
          <w:sz w:val="2"/>
          <w:szCs w:val="2"/>
        </w:rPr>
      </w:pPr>
    </w:p>
    <w:tbl>
      <w:tblPr>
        <w:tblOverlap w:val="never"/>
        <w:tblLayout w:type="fixed"/>
        <w:jc w:val="left"/>
      </w:tblPr>
      <w:tblGrid>
        <w:gridCol w:w="629"/>
        <w:gridCol w:w="4781"/>
        <w:gridCol w:w="2837"/>
        <w:gridCol w:w="1627"/>
      </w:tblGrid>
      <w:tr>
        <w:trPr>
          <w:trHeight w:val="1973" w:hRule="exact"/>
        </w:trPr>
        <w:tc>
          <w:tcPr>
            <w:shd w:val="clear" w:color="auto" w:fill="FFFFFF"/>
            <w:tcBorders>
              <w:left w:val="single" w:sz="4"/>
              <w:top w:val="single" w:sz="4"/>
            </w:tcBorders>
            <w:vAlign w:val="top"/>
          </w:tcPr>
          <w:p>
            <w:pPr>
              <w:framePr w:w="9874" w:h="6710" w:wrap="notBeside" w:vAnchor="text" w:hAnchor="text" w:y="1"/>
              <w:widowControl w:val="0"/>
              <w:rPr>
                <w:sz w:val="10"/>
                <w:szCs w:val="10"/>
              </w:rPr>
            </w:pPr>
          </w:p>
        </w:tc>
        <w:tc>
          <w:tcPr>
            <w:shd w:val="clear" w:color="auto" w:fill="FFFFFF"/>
            <w:tcBorders>
              <w:left w:val="single" w:sz="4"/>
              <w:top w:val="single" w:sz="4"/>
            </w:tcBorders>
            <w:vAlign w:val="bottom"/>
          </w:tcPr>
          <w:p>
            <w:pPr>
              <w:pStyle w:val="Style3"/>
              <w:framePr w:w="9874" w:h="6710" w:wrap="notBeside" w:vAnchor="text" w:hAnchor="text" w:y="1"/>
              <w:widowControl w:val="0"/>
              <w:keepNext w:val="0"/>
              <w:keepLines w:val="0"/>
              <w:shd w:val="clear" w:color="auto" w:fill="auto"/>
              <w:bidi w:val="0"/>
              <w:jc w:val="both"/>
              <w:spacing w:before="0" w:after="0" w:line="274" w:lineRule="exact"/>
              <w:ind w:left="0" w:right="0" w:firstLine="0"/>
            </w:pPr>
            <w:r>
              <w:rPr>
                <w:rStyle w:val="CharStyle25"/>
              </w:rPr>
              <w:t>собственности гаи аренды на склад(ы), копиями разрешений ветеринарной службы на хранение продуктов питания на складе (в случае выдачи данного разрешения на территории субъекта) и копиями договоров на выполнение работ по дератизации и дезинфекции склада(ов)</w:t>
            </w:r>
          </w:p>
        </w:tc>
        <w:tc>
          <w:tcPr>
            <w:shd w:val="clear" w:color="auto" w:fill="FFFFFF"/>
            <w:tcBorders>
              <w:left w:val="single" w:sz="4"/>
              <w:top w:val="single" w:sz="4"/>
            </w:tcBorders>
            <w:vAlign w:val="top"/>
          </w:tcPr>
          <w:p>
            <w:pPr>
              <w:framePr w:w="9874" w:h="6710" w:wrap="notBeside" w:vAnchor="text" w:hAnchor="text" w:y="1"/>
              <w:widowControl w:val="0"/>
              <w:rPr>
                <w:sz w:val="10"/>
                <w:szCs w:val="10"/>
              </w:rPr>
            </w:pPr>
          </w:p>
        </w:tc>
        <w:tc>
          <w:tcPr>
            <w:shd w:val="clear" w:color="auto" w:fill="FFFFFF"/>
            <w:tcBorders>
              <w:left w:val="single" w:sz="4"/>
              <w:right w:val="single" w:sz="4"/>
              <w:top w:val="single" w:sz="4"/>
            </w:tcBorders>
            <w:vAlign w:val="top"/>
          </w:tcPr>
          <w:p>
            <w:pPr>
              <w:framePr w:w="9874" w:h="6710" w:wrap="notBeside" w:vAnchor="text" w:hAnchor="text" w:y="1"/>
              <w:widowControl w:val="0"/>
              <w:rPr>
                <w:sz w:val="10"/>
                <w:szCs w:val="10"/>
              </w:rPr>
            </w:pPr>
          </w:p>
        </w:tc>
      </w:tr>
      <w:tr>
        <w:trPr>
          <w:trHeight w:val="1670" w:hRule="exact"/>
        </w:trPr>
        <w:tc>
          <w:tcPr>
            <w:shd w:val="clear" w:color="auto" w:fill="FFFFFF"/>
            <w:tcBorders>
              <w:left w:val="single" w:sz="4"/>
              <w:top w:val="single" w:sz="4"/>
            </w:tcBorders>
            <w:vAlign w:val="center"/>
          </w:tcPr>
          <w:p>
            <w:pPr>
              <w:pStyle w:val="Style3"/>
              <w:framePr w:w="9874" w:h="6710" w:wrap="notBeside" w:vAnchor="text" w:hAnchor="text" w:y="1"/>
              <w:widowControl w:val="0"/>
              <w:keepNext w:val="0"/>
              <w:keepLines w:val="0"/>
              <w:shd w:val="clear" w:color="auto" w:fill="auto"/>
              <w:bidi w:val="0"/>
              <w:jc w:val="left"/>
              <w:spacing w:before="0" w:after="0" w:line="230" w:lineRule="exact"/>
              <w:ind w:left="140" w:right="0" w:firstLine="0"/>
            </w:pPr>
            <w:r>
              <w:rPr>
                <w:rStyle w:val="CharStyle25"/>
              </w:rPr>
              <w:t>5</w:t>
            </w:r>
          </w:p>
        </w:tc>
        <w:tc>
          <w:tcPr>
            <w:shd w:val="clear" w:color="auto" w:fill="FFFFFF"/>
            <w:tcBorders>
              <w:left w:val="single" w:sz="4"/>
              <w:top w:val="single" w:sz="4"/>
            </w:tcBorders>
            <w:vAlign w:val="bottom"/>
          </w:tcPr>
          <w:p>
            <w:pPr>
              <w:pStyle w:val="Style3"/>
              <w:framePr w:w="9874" w:h="6710" w:wrap="notBeside" w:vAnchor="text" w:hAnchor="text" w:y="1"/>
              <w:widowControl w:val="0"/>
              <w:keepNext w:val="0"/>
              <w:keepLines w:val="0"/>
              <w:shd w:val="clear" w:color="auto" w:fill="auto"/>
              <w:bidi w:val="0"/>
              <w:jc w:val="both"/>
              <w:spacing w:before="0" w:after="0" w:line="274" w:lineRule="exact"/>
              <w:ind w:left="0" w:right="0" w:firstLine="0"/>
            </w:pPr>
            <w:r>
              <w:rPr>
                <w:rStyle w:val="CharStyle25"/>
              </w:rPr>
              <w:t>Общее количество наград, благодарственных писем, выданных на имя участника закупки за производство или поставку продуктов питания, подтверждается копиями наград, благодарственных писем.</w:t>
            </w:r>
          </w:p>
        </w:tc>
        <w:tc>
          <w:tcPr>
            <w:shd w:val="clear" w:color="auto" w:fill="FFFFFF"/>
            <w:tcBorders>
              <w:left w:val="single" w:sz="4"/>
              <w:top w:val="single" w:sz="4"/>
            </w:tcBorders>
            <w:vAlign w:val="center"/>
          </w:tcPr>
          <w:p>
            <w:pPr>
              <w:pStyle w:val="Style3"/>
              <w:framePr w:w="9874" w:h="6710" w:wrap="notBeside" w:vAnchor="text" w:hAnchor="text" w:y="1"/>
              <w:widowControl w:val="0"/>
              <w:keepNext w:val="0"/>
              <w:keepLines w:val="0"/>
              <w:shd w:val="clear" w:color="auto" w:fill="auto"/>
              <w:bidi w:val="0"/>
              <w:jc w:val="left"/>
              <w:spacing w:before="0" w:after="0" w:line="274" w:lineRule="exact"/>
              <w:ind w:left="120" w:right="0" w:firstLine="0"/>
            </w:pPr>
            <w:r>
              <w:rPr>
                <w:rStyle w:val="CharStyle25"/>
              </w:rPr>
              <w:t>отсутствуют - 0 баллов; от 1 до 10 - 10 баллов; - от 11 до 60 - 50 баллов; от 61 и выше - 100 баллов.</w:t>
            </w:r>
          </w:p>
        </w:tc>
        <w:tc>
          <w:tcPr>
            <w:shd w:val="clear" w:color="auto" w:fill="FFFFFF"/>
            <w:tcBorders>
              <w:left w:val="single" w:sz="4"/>
              <w:right w:val="single" w:sz="4"/>
              <w:top w:val="single" w:sz="4"/>
            </w:tcBorders>
            <w:vAlign w:val="top"/>
          </w:tcPr>
          <w:p>
            <w:pPr>
              <w:pStyle w:val="Style3"/>
              <w:framePr w:w="9874" w:h="6710" w:wrap="notBeside" w:vAnchor="text" w:hAnchor="text" w:y="1"/>
              <w:widowControl w:val="0"/>
              <w:keepNext w:val="0"/>
              <w:keepLines w:val="0"/>
              <w:shd w:val="clear" w:color="auto" w:fill="auto"/>
              <w:bidi w:val="0"/>
              <w:jc w:val="right"/>
              <w:spacing w:before="0" w:after="300" w:line="230" w:lineRule="exact"/>
              <w:ind w:left="0" w:right="20" w:firstLine="0"/>
            </w:pPr>
            <w:r>
              <w:rPr>
                <w:rStyle w:val="CharStyle26"/>
              </w:rPr>
              <w:t>"Ы и</w:t>
            </w:r>
          </w:p>
          <w:p>
            <w:pPr>
              <w:pStyle w:val="Style3"/>
              <w:framePr w:w="9874" w:h="6710" w:wrap="notBeside" w:vAnchor="text" w:hAnchor="text" w:y="1"/>
              <w:widowControl w:val="0"/>
              <w:keepNext w:val="0"/>
              <w:keepLines w:val="0"/>
              <w:shd w:val="clear" w:color="auto" w:fill="auto"/>
              <w:bidi w:val="0"/>
              <w:jc w:val="both"/>
              <w:spacing w:before="300" w:after="0" w:line="230" w:lineRule="exact"/>
              <w:ind w:left="0" w:right="0" w:firstLine="0"/>
            </w:pPr>
            <w:r>
              <w:rPr>
                <w:rStyle w:val="CharStyle25"/>
              </w:rPr>
              <w:t>15%</w:t>
            </w:r>
          </w:p>
        </w:tc>
      </w:tr>
      <w:tr>
        <w:trPr>
          <w:trHeight w:val="2760" w:hRule="exact"/>
        </w:trPr>
        <w:tc>
          <w:tcPr>
            <w:shd w:val="clear" w:color="auto" w:fill="FFFFFF"/>
            <w:tcBorders>
              <w:left w:val="single" w:sz="4"/>
              <w:top w:val="single" w:sz="4"/>
            </w:tcBorders>
            <w:vAlign w:val="center"/>
          </w:tcPr>
          <w:p>
            <w:pPr>
              <w:pStyle w:val="Style3"/>
              <w:framePr w:w="9874" w:h="6710" w:wrap="notBeside" w:vAnchor="text" w:hAnchor="text" w:y="1"/>
              <w:widowControl w:val="0"/>
              <w:keepNext w:val="0"/>
              <w:keepLines w:val="0"/>
              <w:shd w:val="clear" w:color="auto" w:fill="auto"/>
              <w:bidi w:val="0"/>
              <w:jc w:val="left"/>
              <w:spacing w:before="0" w:after="0" w:line="230" w:lineRule="exact"/>
              <w:ind w:left="140" w:right="0" w:firstLine="0"/>
            </w:pPr>
            <w:r>
              <w:rPr>
                <w:rStyle w:val="CharStyle25"/>
              </w:rPr>
              <w:t>б</w:t>
            </w:r>
          </w:p>
        </w:tc>
        <w:tc>
          <w:tcPr>
            <w:shd w:val="clear" w:color="auto" w:fill="FFFFFF"/>
            <w:tcBorders>
              <w:left w:val="single" w:sz="4"/>
              <w:top w:val="single" w:sz="4"/>
            </w:tcBorders>
            <w:vAlign w:val="bottom"/>
          </w:tcPr>
          <w:p>
            <w:pPr>
              <w:pStyle w:val="Style3"/>
              <w:framePr w:w="9874" w:h="6710" w:wrap="notBeside" w:vAnchor="text" w:hAnchor="text" w:y="1"/>
              <w:widowControl w:val="0"/>
              <w:keepNext w:val="0"/>
              <w:keepLines w:val="0"/>
              <w:shd w:val="clear" w:color="auto" w:fill="auto"/>
              <w:bidi w:val="0"/>
              <w:jc w:val="both"/>
              <w:spacing w:before="0" w:after="0" w:line="274" w:lineRule="exact"/>
              <w:ind w:left="0" w:right="0" w:firstLine="0"/>
            </w:pPr>
            <w:r>
              <w:rPr>
                <w:rStyle w:val="CharStyle25"/>
              </w:rPr>
              <w:t>Наличие внедренной системы менеджмента, безопасности пищевой продукции (сертификат соответствия требованиям ГОСТ Р ИСО 22000-2007 (ИСО 22000:2005), включающий принципы ХАССП) (указать наличие/отсутствие) Квалификация участника закупки, по данному показателю, считается подтвержденной в случае наличия требуемого сертификата системы ХАССП.</w:t>
            </w:r>
          </w:p>
        </w:tc>
        <w:tc>
          <w:tcPr>
            <w:shd w:val="clear" w:color="auto" w:fill="FFFFFF"/>
            <w:tcBorders>
              <w:left w:val="single" w:sz="4"/>
              <w:top w:val="single" w:sz="4"/>
            </w:tcBorders>
            <w:vAlign w:val="center"/>
          </w:tcPr>
          <w:p>
            <w:pPr>
              <w:pStyle w:val="Style3"/>
              <w:framePr w:w="9874" w:h="6710" w:wrap="notBeside" w:vAnchor="text" w:hAnchor="text" w:y="1"/>
              <w:widowControl w:val="0"/>
              <w:keepNext w:val="0"/>
              <w:keepLines w:val="0"/>
              <w:shd w:val="clear" w:color="auto" w:fill="auto"/>
              <w:bidi w:val="0"/>
              <w:jc w:val="left"/>
              <w:spacing w:before="0" w:after="0" w:line="269" w:lineRule="exact"/>
              <w:ind w:left="120" w:right="0" w:firstLine="0"/>
            </w:pPr>
            <w:r>
              <w:rPr>
                <w:rStyle w:val="CharStyle25"/>
              </w:rPr>
              <w:t>отсутствие системы ХАССП - 0 баллов; внедрение системы ХАССП-100 баллов.</w:t>
            </w:r>
          </w:p>
        </w:tc>
        <w:tc>
          <w:tcPr>
            <w:shd w:val="clear" w:color="auto" w:fill="FFFFFF"/>
            <w:vMerge w:val="restart"/>
            <w:tcBorders>
              <w:left w:val="single" w:sz="4"/>
              <w:right w:val="single" w:sz="4"/>
              <w:top w:val="single" w:sz="4"/>
            </w:tcBorders>
            <w:vAlign w:val="bottom"/>
          </w:tcPr>
          <w:p>
            <w:pPr>
              <w:pStyle w:val="Style3"/>
              <w:framePr w:w="9874" w:h="6710" w:wrap="notBeside" w:vAnchor="text" w:hAnchor="text" w:y="1"/>
              <w:widowControl w:val="0"/>
              <w:keepNext w:val="0"/>
              <w:keepLines w:val="0"/>
              <w:shd w:val="clear" w:color="auto" w:fill="auto"/>
              <w:bidi w:val="0"/>
              <w:jc w:val="both"/>
              <w:spacing w:before="0" w:after="900" w:line="600" w:lineRule="exact"/>
              <w:ind w:left="0" w:right="0" w:firstLine="0"/>
            </w:pPr>
            <w:r>
              <w:rPr>
                <w:rStyle w:val="CharStyle25"/>
              </w:rPr>
              <w:t>А#*'. - 5%</w:t>
            </w:r>
          </w:p>
          <w:p>
            <w:pPr>
              <w:pStyle w:val="Style3"/>
              <w:framePr w:w="9874" w:h="6710" w:wrap="notBeside" w:vAnchor="text" w:hAnchor="text" w:y="1"/>
              <w:widowControl w:val="0"/>
              <w:keepNext w:val="0"/>
              <w:keepLines w:val="0"/>
              <w:shd w:val="clear" w:color="auto" w:fill="auto"/>
              <w:bidi w:val="0"/>
              <w:jc w:val="both"/>
              <w:spacing w:before="900" w:after="0" w:line="230" w:lineRule="exact"/>
              <w:ind w:left="0" w:right="0" w:firstLine="0"/>
            </w:pPr>
            <w:r>
              <w:rPr>
                <w:rStyle w:val="CharStyle25"/>
                <w:lang w:val="en-US" w:eastAsia="en-US" w:bidi="en-US"/>
              </w:rPr>
              <w:t>loo</w:t>
            </w:r>
            <w:r>
              <w:rPr>
                <w:rStyle w:val="CharStyle25"/>
                <w:lang w:val="en-US" w:eastAsia="en-US" w:bidi="en-US"/>
                <w:vertAlign w:val="superscript"/>
              </w:rPr>
              <w:t>0</w:t>
            </w:r>
            <w:r>
              <w:rPr>
                <w:rStyle w:val="CharStyle25"/>
                <w:lang w:val="en-US" w:eastAsia="en-US" w:bidi="en-US"/>
              </w:rPr>
              <w:t>/?"</w:t>
            </w:r>
          </w:p>
        </w:tc>
      </w:tr>
      <w:tr>
        <w:trPr>
          <w:trHeight w:val="307" w:hRule="exact"/>
        </w:trPr>
        <w:tc>
          <w:tcPr>
            <w:shd w:val="clear" w:color="auto" w:fill="FFFFFF"/>
            <w:tcBorders>
              <w:left w:val="single" w:sz="4"/>
              <w:top w:val="single" w:sz="4"/>
              <w:bottom w:val="single" w:sz="4"/>
            </w:tcBorders>
            <w:vAlign w:val="top"/>
          </w:tcPr>
          <w:p>
            <w:pPr>
              <w:framePr w:w="9874" w:h="6710" w:wrap="notBeside" w:vAnchor="text" w:hAnchor="text" w:y="1"/>
              <w:widowControl w:val="0"/>
              <w:rPr>
                <w:sz w:val="10"/>
                <w:szCs w:val="10"/>
              </w:rPr>
            </w:pPr>
          </w:p>
        </w:tc>
        <w:tc>
          <w:tcPr>
            <w:shd w:val="clear" w:color="auto" w:fill="FFFFFF"/>
            <w:tcBorders>
              <w:left w:val="single" w:sz="4"/>
              <w:top w:val="single" w:sz="4"/>
              <w:bottom w:val="single" w:sz="4"/>
            </w:tcBorders>
            <w:vAlign w:val="bottom"/>
          </w:tcPr>
          <w:p>
            <w:pPr>
              <w:pStyle w:val="Style3"/>
              <w:framePr w:w="9874" w:h="6710" w:wrap="notBeside" w:vAnchor="text" w:hAnchor="text" w:y="1"/>
              <w:widowControl w:val="0"/>
              <w:keepNext w:val="0"/>
              <w:keepLines w:val="0"/>
              <w:shd w:val="clear" w:color="auto" w:fill="auto"/>
              <w:bidi w:val="0"/>
              <w:jc w:val="both"/>
              <w:spacing w:before="0" w:after="0" w:line="230" w:lineRule="exact"/>
              <w:ind w:left="0" w:right="0" w:firstLine="0"/>
            </w:pPr>
            <w:r>
              <w:rPr>
                <w:rStyle w:val="CharStyle25"/>
              </w:rPr>
              <w:t>Сумма величин значимости показателей:</w:t>
            </w:r>
          </w:p>
        </w:tc>
        <w:tc>
          <w:tcPr>
            <w:shd w:val="clear" w:color="auto" w:fill="FFFFFF"/>
            <w:tcBorders>
              <w:left w:val="single" w:sz="4"/>
              <w:top w:val="single" w:sz="4"/>
              <w:bottom w:val="single" w:sz="4"/>
            </w:tcBorders>
            <w:vAlign w:val="top"/>
          </w:tcPr>
          <w:p>
            <w:pPr>
              <w:framePr w:w="9874" w:h="6710" w:wrap="notBeside" w:vAnchor="text" w:hAnchor="text" w:y="1"/>
              <w:widowControl w:val="0"/>
              <w:rPr>
                <w:sz w:val="10"/>
                <w:szCs w:val="10"/>
              </w:rPr>
            </w:pPr>
          </w:p>
        </w:tc>
        <w:tc>
          <w:tcPr>
            <w:shd w:val="clear" w:color="auto" w:fill="FFFFFF"/>
            <w:vMerge/>
            <w:tcBorders>
              <w:left w:val="single" w:sz="4"/>
              <w:right w:val="single" w:sz="4"/>
              <w:bottom w:val="single" w:sz="4"/>
            </w:tcBorders>
            <w:vAlign w:val="bottom"/>
          </w:tcPr>
          <w:p>
            <w:pPr>
              <w:framePr w:w="9874" w:h="6710" w:wrap="notBeside" w:vAnchor="text" w:hAnchor="text" w:y="1"/>
            </w:pPr>
          </w:p>
        </w:tc>
      </w:tr>
    </w:tbl>
    <w:p>
      <w:pPr>
        <w:pStyle w:val="Style27"/>
        <w:framePr w:w="307" w:h="226" w:wrap="notBeside" w:vAnchor="text" w:hAnchor="text" w:x="10177" w:y="2219"/>
        <w:widowControl w:val="0"/>
        <w:keepNext w:val="0"/>
        <w:keepLines w:val="0"/>
        <w:shd w:val="clear" w:color="auto" w:fill="auto"/>
        <w:bidi w:val="0"/>
        <w:jc w:val="left"/>
        <w:spacing w:before="0" w:after="0" w:line="220" w:lineRule="exact"/>
        <w:ind w:left="0" w:right="0" w:firstLine="0"/>
      </w:pPr>
      <w:r>
        <w:rPr>
          <w:lang w:val="ru-RU" w:eastAsia="ru-RU" w:bidi="ru-RU"/>
          <w:w w:val="100"/>
          <w:color w:val="000000"/>
          <w:position w:val="0"/>
        </w:rPr>
        <w:t>ЙР1</w:t>
      </w:r>
    </w:p>
    <w:p>
      <w:pPr>
        <w:pStyle w:val="Style29"/>
        <w:framePr w:w="317" w:h="199" w:wrap="notBeside" w:vAnchor="text" w:hAnchor="text" w:x="10187" w:y="4398"/>
        <w:widowControl w:val="0"/>
        <w:keepNext w:val="0"/>
        <w:keepLines w:val="0"/>
        <w:shd w:val="clear" w:color="auto" w:fill="auto"/>
        <w:bidi w:val="0"/>
        <w:jc w:val="left"/>
        <w:spacing w:before="0" w:after="0" w:line="180" w:lineRule="exact"/>
        <w:ind w:left="0" w:right="0" w:firstLine="0"/>
      </w:pPr>
      <w:r>
        <w:rPr>
          <w:lang w:val="ru-RU" w:eastAsia="ru-RU" w:bidi="ru-RU"/>
          <w:w w:val="100"/>
          <w:color w:val="000000"/>
          <w:position w:val="0"/>
        </w:rPr>
        <w:t>ш-</w:t>
      </w:r>
    </w:p>
    <w:p>
      <w:pPr>
        <w:widowControl w:val="0"/>
        <w:rPr>
          <w:sz w:val="2"/>
          <w:szCs w:val="2"/>
        </w:rPr>
      </w:pPr>
    </w:p>
    <w:p>
      <w:pPr>
        <w:pStyle w:val="Style3"/>
        <w:numPr>
          <w:ilvl w:val="0"/>
          <w:numId w:val="5"/>
        </w:numPr>
        <w:tabs>
          <w:tab w:leader="none" w:pos="10356" w:val="right"/>
          <w:tab w:leader="none" w:pos="1198" w:val="left"/>
        </w:tabs>
        <w:widowControl w:val="0"/>
        <w:keepNext w:val="0"/>
        <w:keepLines w:val="0"/>
        <w:shd w:val="clear" w:color="auto" w:fill="auto"/>
        <w:bidi w:val="0"/>
        <w:jc w:val="both"/>
        <w:spacing w:before="0" w:after="229" w:line="274" w:lineRule="exact"/>
        <w:ind w:left="180" w:right="440" w:firstLine="700"/>
      </w:pPr>
      <w:r>
        <w:rPr>
          <w:lang w:val="ru-RU" w:eastAsia="ru-RU" w:bidi="ru-RU"/>
          <w:w w:val="100"/>
          <w:spacing w:val="0"/>
          <w:color w:val="000000"/>
          <w:position w:val="0"/>
        </w:rPr>
        <w:t xml:space="preserve">Кроме того, Заявитель считает, что ГОСТ Р ИСО 22000-2007 с 01.01.2020 заменен на ГОСТ Р ИСО 22000-2019 (источник: </w:t>
      </w:r>
      <w:r>
        <w:fldChar w:fldCharType="begin"/>
      </w:r>
      <w:r>
        <w:rPr>
          <w:rStyle w:val="CharStyle19"/>
        </w:rPr>
        <w:instrText> HYPERLINK "https://www.standarcls.m/dociiment/4137699.aspxl" </w:instrText>
      </w:r>
      <w:r>
        <w:fldChar w:fldCharType="separate"/>
      </w:r>
      <w:r>
        <w:rPr>
          <w:rStyle w:val="Hyperlink"/>
        </w:rPr>
        <w:t>https://www.standarcls.m/dociiment/41</w:t>
      </w:r>
      <w:r>
        <w:rPr>
          <w:rStyle w:val="Hyperlink"/>
          <w:lang w:val="ru-RU" w:eastAsia="ru-RU" w:bidi="ru-RU"/>
        </w:rPr>
        <w:t>37699.</w:t>
      </w:r>
      <w:r>
        <w:rPr>
          <w:rStyle w:val="Hyperlink"/>
        </w:rPr>
        <w:t>aspxl</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таким образом Заказчик ограничивает к участию предприятия, сертифицированные по ГОСТ Р ИСО 22000-2019, что приводит к ограничению конкуренции и противоречит требованиям Закона о контрактной системе в части создания равных условий для обеспечения конкуренции между участниками закупок.</w:t>
        <w:tab/>
        <w:t>\</w:t>
      </w:r>
    </w:p>
    <w:p>
      <w:pPr>
        <w:pStyle w:val="Style23"/>
        <w:widowControl w:val="0"/>
        <w:keepNext w:val="0"/>
        <w:keepLines w:val="0"/>
        <w:shd w:val="clear" w:color="auto" w:fill="auto"/>
        <w:bidi w:val="0"/>
        <w:jc w:val="left"/>
        <w:spacing w:before="0" w:after="0" w:line="288" w:lineRule="exact"/>
        <w:ind w:left="180" w:right="280" w:firstLine="700"/>
      </w:pPr>
      <w:r>
        <w:rPr>
          <w:lang w:val="ru-RU" w:eastAsia="ru-RU" w:bidi="ru-RU"/>
          <w:w w:val="100"/>
          <w:spacing w:val="0"/>
          <w:color w:val="000000"/>
          <w:position w:val="0"/>
        </w:rPr>
        <w:t>В ходе рассмотрения доводов сторон, материалов дела, Комиссйёй Управ:Шний! установлено следующее.</w:t>
      </w:r>
    </w:p>
    <w:p>
      <w:pPr>
        <w:pStyle w:val="Style3"/>
        <w:numPr>
          <w:ilvl w:val="0"/>
          <w:numId w:val="7"/>
        </w:numPr>
        <w:tabs>
          <w:tab w:leader="none" w:pos="1159" w:val="left"/>
        </w:tabs>
        <w:widowControl w:val="0"/>
        <w:keepNext w:val="0"/>
        <w:keepLines w:val="0"/>
        <w:shd w:val="clear" w:color="auto" w:fill="auto"/>
        <w:bidi w:val="0"/>
        <w:jc w:val="both"/>
        <w:spacing w:before="0" w:after="0" w:line="274" w:lineRule="exact"/>
        <w:ind w:left="180" w:right="0" w:firstLine="70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3"/>
        <w:widowControl w:val="0"/>
        <w:keepNext w:val="0"/>
        <w:keepLines w:val="0"/>
        <w:shd w:val="clear" w:color="auto" w:fill="auto"/>
        <w:bidi w:val="0"/>
        <w:jc w:val="both"/>
        <w:spacing w:before="0" w:after="0" w:line="274" w:lineRule="exact"/>
        <w:ind w:left="180" w:right="440" w:firstLine="700"/>
      </w:pPr>
      <w:r>
        <w:rPr>
          <w:lang w:val="ru-RU" w:eastAsia="ru-RU" w:bidi="ru-RU"/>
          <w:w w:val="100"/>
          <w:spacing w:val="0"/>
          <w:color w:val="000000"/>
          <w:position w:val="0"/>
        </w:rPr>
        <w:t xml:space="preserve">В силу пункта 8 части 1 статьи 54.3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 </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w:t>
      </w:r>
      <w:r>
        <w:rPr>
          <w:lang w:val="en-US" w:eastAsia="en-US" w:bidi="en-US"/>
          <w:w w:val="100"/>
          <w:spacing w:val="0"/>
          <w:color w:val="000000"/>
          <w:position w:val="0"/>
        </w:rPr>
        <w:t>J</w:t>
      </w:r>
    </w:p>
    <w:p>
      <w:pPr>
        <w:pStyle w:val="Style3"/>
        <w:widowControl w:val="0"/>
        <w:keepNext w:val="0"/>
        <w:keepLines w:val="0"/>
        <w:shd w:val="clear" w:color="auto" w:fill="auto"/>
        <w:bidi w:val="0"/>
        <w:jc w:val="both"/>
        <w:spacing w:before="0" w:after="0" w:line="274" w:lineRule="exact"/>
        <w:ind w:left="180" w:right="280" w:firstLine="700"/>
      </w:pPr>
      <w:r>
        <w:rPr>
          <w:lang w:val="ru-RU" w:eastAsia="ru-RU" w:bidi="ru-RU"/>
          <w:w w:val="100"/>
          <w:spacing w:val="0"/>
          <w:color w:val="000000"/>
          <w:position w:val="0"/>
        </w:rPr>
        <w:t>Согласно пункту 4 части 1 статьи 32 Закона о контрактной системе-едднйШ из критериев? устанавливаемых заказчиком в документации о закупке для оценки заявок, окончательных предложений участников закупки, является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left"/>
        <w:spacing w:before="0" w:after="0" w:line="274" w:lineRule="exact"/>
        <w:ind w:left="180" w:right="280" w:firstLine="700"/>
      </w:pPr>
      <w:r>
        <w:rPr>
          <w:lang w:val="ru-RU" w:eastAsia="ru-RU" w:bidi="ru-RU"/>
          <w:w w:val="100"/>
          <w:spacing w:val="0"/>
          <w:color w:val="000000"/>
          <w:position w:val="0"/>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велЩщш значимости.^ каждого критерия, устанавливаются Постановлением Правительства РФ от 28.11.2013 </w:t>
      </w:r>
      <w:r>
        <w:rPr>
          <w:lang w:val="en-US" w:eastAsia="en-US" w:bidi="en-US"/>
          <w:w w:val="100"/>
          <w:spacing w:val="0"/>
          <w:color w:val="000000"/>
          <w:position w:val="0"/>
        </w:rPr>
        <w:t xml:space="preserve">N </w:t>
      </w:r>
      <w:r>
        <w:rPr>
          <w:lang w:val="ru-RU" w:eastAsia="ru-RU" w:bidi="ru-RU"/>
          <w:w w:val="100"/>
          <w:spacing w:val="0"/>
          <w:color w:val="000000"/>
          <w:position w:val="0"/>
        </w:rPr>
        <w:t>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left"/>
        <w:spacing w:before="0" w:after="0" w:line="274" w:lineRule="exact"/>
        <w:ind w:left="180" w:right="280" w:firstLine="700"/>
      </w:pPr>
      <w:r>
        <w:rPr>
          <w:lang w:val="ru-RU" w:eastAsia="ru-RU" w:bidi="ru-RU"/>
          <w:w w:val="100"/>
          <w:spacing w:val="0"/>
          <w:color w:val="000000"/>
          <w:position w:val="0"/>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w:t>
      </w:r>
    </w:p>
    <w:p>
      <w:pPr>
        <w:pStyle w:val="Style3"/>
        <w:widowControl w:val="0"/>
        <w:keepNext w:val="0"/>
        <w:keepLines w:val="0"/>
        <w:shd w:val="clear" w:color="auto" w:fill="auto"/>
        <w:bidi w:val="0"/>
        <w:jc w:val="both"/>
        <w:spacing w:before="0" w:after="0" w:line="274" w:lineRule="exact"/>
        <w:ind w:left="180" w:right="40" w:firstLine="0"/>
      </w:pPr>
      <w:r>
        <w:rPr>
          <w:lang w:val="ru-RU" w:eastAsia="ru-RU" w:bidi="ru-RU"/>
          <w:w w:val="100"/>
          <w:spacing w:val="0"/>
          <w:color w:val="000000"/>
          <w:position w:val="0"/>
        </w:rPr>
        <w:t>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left"/>
        <w:spacing w:before="0" w:after="0" w:line="274" w:lineRule="exact"/>
        <w:ind w:left="20" w:right="40" w:firstLine="900"/>
      </w:pPr>
      <w:r>
        <w:rPr>
          <w:lang w:val="ru-RU" w:eastAsia="ru-RU" w:bidi="ru-RU"/>
          <w:w w:val="100"/>
          <w:spacing w:val="0"/>
          <w:color w:val="000000"/>
          <w:position w:val="0"/>
        </w:rPr>
        <w:t>В соответствии с пунктом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 xml:space="preserve">Для оценки заявок (предложений) по нестоимостным критериям оценки (показателям) </w:t>
      </w:r>
      <w:r>
        <w:rPr>
          <w:rStyle w:val="CharStyle19"/>
          <w:lang w:val="ru-RU" w:eastAsia="ru-RU" w:bidi="ru-RU"/>
        </w:rPr>
        <w:t>заказчик вправе устанавливать</w:t>
      </w:r>
      <w:r>
        <w:rPr>
          <w:lang w:val="ru-RU" w:eastAsia="ru-RU" w:bidi="ru-RU"/>
          <w:w w:val="100"/>
          <w:spacing w:val="0"/>
          <w:color w:val="000000"/>
          <w:position w:val="0"/>
        </w:rPr>
        <w:t xml:space="preserve"> предельно необходимое минимальное или максимальное количественное значение качественных, функциональных и квалификационных характеристик, которые подлежат оценке в рамках указанных критериев.</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Из содержания указанных норм следует, что установление показателей, раскрывающих содержание нестоимостных критериев оценки и учитывающих особенности оценки закупаемых товаров по таким критериям, и соответствующих им величин значимости является нравом заказчика.</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При этом,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качественном и своевременном исполнении обязательств по контракту, учитывая специфику объекта закупки.</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Учитывая вышеизложенное Заказчиком в приложении №1 к части II «Информационная дарта конкурса» конкурсной документации установлены два критерия: стоимостный - «цена контракта», и нестоимостный - «квалификация участников закупки, в том числе наличие у них финансовых ресурсов, на праве собственности гаи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иных работников определенного уровня квалификации».</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Учреждение Заказчика является социально значимым объектом. Продукты используются для приготовления лечебного питания пациентов различных медицинских профилей, с учетом требований к различным диетам и особенностям питания.</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Заказчиком предусмотрены показатели в отношении нестоимостного критерия, и для каждого показателя установлена его значимость, а также установлена формула расчета количества баллов, присуждаемых по данным показателям. Порядок оценки заявок на участие в конкурсе, предусмотренный конкурсной документацией Заказчика не противоречит требованиям о контрактной системе в сфере закупок.</w:t>
      </w:r>
    </w:p>
    <w:p>
      <w:pPr>
        <w:pStyle w:val="Style3"/>
        <w:widowControl w:val="0"/>
        <w:keepNext w:val="0"/>
        <w:keepLines w:val="0"/>
        <w:shd w:val="clear" w:color="auto" w:fill="auto"/>
        <w:bidi w:val="0"/>
        <w:jc w:val="left"/>
        <w:spacing w:before="0" w:after="0" w:line="274" w:lineRule="exact"/>
        <w:ind w:left="20" w:right="40" w:firstLine="900"/>
      </w:pPr>
      <w:r>
        <w:rPr>
          <w:lang w:val="ru-RU" w:eastAsia="ru-RU" w:bidi="ru-RU"/>
          <w:w w:val="100"/>
          <w:spacing w:val="0"/>
          <w:color w:val="000000"/>
          <w:position w:val="0"/>
        </w:rPr>
        <w:t>Установление Заказчиком указанных критериев, не направлено на ограничение количества участников закупки, а распространяется на всех участников закупки, и является способом жюализзщш своих потребностей в выборе наиболее квалифицированного и опытного исполнителя '^поставок продуктов питания.</w:t>
      </w:r>
    </w:p>
    <w:p>
      <w:pPr>
        <w:pStyle w:val="Style3"/>
        <w:widowControl w:val="0"/>
        <w:keepNext w:val="0"/>
        <w:keepLines w:val="0"/>
        <w:shd w:val="clear" w:color="auto" w:fill="auto"/>
        <w:bidi w:val="0"/>
        <w:jc w:val="both"/>
        <w:spacing w:before="0" w:after="0" w:line="274" w:lineRule="exact"/>
        <w:ind w:left="20" w:right="40" w:firstLine="900"/>
      </w:pPr>
      <w:r>
        <w:rPr>
          <w:lang w:val="ru-RU" w:eastAsia="ru-RU" w:bidi="ru-RU"/>
          <w:w w:val="100"/>
          <w:spacing w:val="0"/>
          <w:color w:val="000000"/>
          <w:position w:val="0"/>
        </w:rPr>
        <w:t xml:space="preserve">Согласно пояснениям Заказчика критерии «Наличие складских помещений для хранения продуктов, отвечающих санитарным нормам», «Обеспеченность участника трудовыми ресурсами необходимыми для надлежащего исполнения контракта», «Общее количество наград, благодарственных писем, выданных на имя участника закупки за производство или поставку продуктов питания», «Наличие внедренной системы менеджмента безопасности пищевой продукции (сертификат соответствия требованиям ГОСТ Р ИСО 22000-2007 (ИСО 22000:2005), </w:t>
      </w:r>
      <w:r>
        <w:rPr>
          <w:lang w:val="ru-RU" w:eastAsia="ru-RU" w:bidi="ru-RU"/>
          <w:vertAlign w:val="subscript"/>
          <w:w w:val="100"/>
          <w:spacing w:val="0"/>
          <w:color w:val="000000"/>
          <w:position w:val="0"/>
        </w:rPr>
        <w:t>а</w:t>
      </w:r>
      <w:r>
        <w:rPr>
          <w:lang w:val="ru-RU" w:eastAsia="ru-RU" w:bidi="ru-RU"/>
          <w:w w:val="100"/>
          <w:spacing w:val="0"/>
          <w:color w:val="000000"/>
          <w:position w:val="0"/>
        </w:rPr>
        <w:t>,щкяючающий принципы ХАССП)» установлены Заказчиком на основании имеющегося опыта аналогичных закупок в течение последних лет. На участие в закупках было подано не менее пяти заявок, трем из которых было присвоено максимальное количество баллов, так как они полностью отвечали установленным критериям. Кроме того, среди указанных участников кроме крупных предприятий были и средние и малые предприятия.</w:t>
      </w:r>
    </w:p>
    <w:p>
      <w:pPr>
        <w:pStyle w:val="Style3"/>
        <w:widowControl w:val="0"/>
        <w:keepNext w:val="0"/>
        <w:keepLines w:val="0"/>
        <w:shd w:val="clear" w:color="auto" w:fill="auto"/>
        <w:bidi w:val="0"/>
        <w:jc w:val="both"/>
        <w:spacing w:before="0" w:after="0" w:line="274" w:lineRule="exact"/>
        <w:ind w:left="180" w:right="40" w:firstLine="720"/>
      </w:pPr>
      <w:r>
        <w:rPr>
          <w:lang w:val="ru-RU" w:eastAsia="ru-RU" w:bidi="ru-RU"/>
          <w:w w:val="100"/>
          <w:spacing w:val="0"/>
          <w:color w:val="000000"/>
          <w:position w:val="0"/>
        </w:rPr>
        <w:t>Комиссия Управления соглашается с позицией Заказчика и не усматривает в данном случае нарушения статьи 32 Закона о контрактной системе.</w:t>
      </w:r>
    </w:p>
    <w:p>
      <w:pPr>
        <w:pStyle w:val="Style3"/>
        <w:tabs>
          <w:tab w:leader="none" w:pos="7734" w:val="left"/>
          <w:tab w:leader="none" w:pos="10220" w:val="right"/>
        </w:tabs>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 xml:space="preserve">Наличие у участника закупки указанного объема складских помещений позволит обеспечить поставщику гарантированную логистику, осуществить формирование </w:t>
      </w:r>
      <w:r>
        <w:rPr>
          <w:rStyle w:val="CharStyle20"/>
        </w:rPr>
        <w:t xml:space="preserve">щ </w:t>
      </w:r>
      <w:r>
        <w:rPr>
          <w:lang w:val="ru-RU" w:eastAsia="ru-RU" w:bidi="ru-RU"/>
          <w:w w:val="100"/>
          <w:spacing w:val="0"/>
          <w:color w:val="000000"/>
          <w:position w:val="0"/>
        </w:rPr>
        <w:t>комплектование этапа поставки и таким образом обеспечить надлежащего исполнение^ контрактных обязательств по поставке продуктов питания.</w:t>
        <w:tab/>
      </w:r>
      <w:r>
        <w:rPr>
          <w:lang w:val="ru-RU" w:eastAsia="ru-RU" w:bidi="ru-RU"/>
          <w:vertAlign w:val="superscript"/>
          <w:w w:val="100"/>
          <w:spacing w:val="0"/>
          <w:color w:val="000000"/>
          <w:position w:val="0"/>
        </w:rPr>
        <w:t>:у</w:t>
      </w:r>
      <w:r>
        <w:rPr>
          <w:lang w:val="ru-RU" w:eastAsia="ru-RU" w:bidi="ru-RU"/>
          <w:w w:val="100"/>
          <w:spacing w:val="0"/>
          <w:color w:val="000000"/>
          <w:position w:val="0"/>
        </w:rPr>
        <w:t xml:space="preserve"> ^</w:t>
        <w:tab/>
        <w:t>°</w:t>
      </w:r>
    </w:p>
    <w:p>
      <w:pPr>
        <w:pStyle w:val="Style3"/>
        <w:widowControl w:val="0"/>
        <w:keepNext w:val="0"/>
        <w:keepLines w:val="0"/>
        <w:shd w:val="clear" w:color="auto" w:fill="auto"/>
        <w:bidi w:val="0"/>
        <w:jc w:val="both"/>
        <w:spacing w:before="0" w:after="0" w:line="274" w:lineRule="exact"/>
        <w:ind w:left="20" w:right="460" w:firstLine="700"/>
      </w:pPr>
      <w:r>
        <w:rPr>
          <w:lang w:val="ru-RU" w:eastAsia="ru-RU" w:bidi="ru-RU"/>
          <w:w w:val="100"/>
          <w:spacing w:val="0"/>
          <w:color w:val="000000"/>
          <w:position w:val="0"/>
        </w:rPr>
        <w:t>Заказчиком не установлено требование о наличии складских помещений лишь на праве собственности, участник в подтверждение критерию может предоставить копии договоров на аренду.</w:t>
      </w:r>
    </w:p>
    <w:p>
      <w:pPr>
        <w:pStyle w:val="Style3"/>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Критерий «Обеспеченность участника трудовыми ресурсами необходимыми для надлежащего исполнения контракта. Подтверждается наличием копий трудовых книжек»</w:t>
      </w:r>
    </w:p>
    <w:p>
      <w:pPr>
        <w:pStyle w:val="Style3"/>
        <w:widowControl w:val="0"/>
        <w:keepNext w:val="0"/>
        <w:keepLines w:val="0"/>
        <w:shd w:val="clear" w:color="auto" w:fill="auto"/>
        <w:bidi w:val="0"/>
        <w:jc w:val="left"/>
        <w:spacing w:before="0" w:after="0" w:line="274" w:lineRule="exact"/>
        <w:ind w:left="20" w:right="60" w:firstLine="700"/>
      </w:pPr>
      <w:r>
        <w:rPr>
          <w:lang w:val="ru-RU" w:eastAsia="ru-RU" w:bidi="ru-RU"/>
          <w:w w:val="100"/>
          <w:spacing w:val="0"/>
          <w:color w:val="000000"/>
          <w:position w:val="0"/>
        </w:rPr>
        <w:t>Утверждение Заявителя об отсутствии технической возможности предоставить копию?! трудовой книжки в случае перехода сотрудника с 01.01.2020 года на электронную трудовую</w:t>
      </w:r>
      <w:r>
        <w:rPr>
          <w:lang w:val="ru-RU" w:eastAsia="ru-RU" w:bidi="ru-RU"/>
          <w:vertAlign w:val="superscript"/>
          <w:w w:val="100"/>
          <w:spacing w:val="0"/>
          <w:color w:val="000000"/>
          <w:position w:val="0"/>
        </w:rPr>
        <w:t>5</w:t>
      </w:r>
      <w:r>
        <w:rPr>
          <w:lang w:val="ru-RU" w:eastAsia="ru-RU" w:bidi="ru-RU"/>
          <w:w w:val="100"/>
          <w:spacing w:val="0"/>
          <w:color w:val="000000"/>
          <w:position w:val="0"/>
        </w:rPr>
        <w:t>'', :* книжку не состоятельно.</w:t>
      </w:r>
    </w:p>
    <w:p>
      <w:pPr>
        <w:pStyle w:val="Style3"/>
        <w:widowControl w:val="0"/>
        <w:keepNext w:val="0"/>
        <w:keepLines w:val="0"/>
        <w:shd w:val="clear" w:color="auto" w:fill="auto"/>
        <w:bidi w:val="0"/>
        <w:jc w:val="both"/>
        <w:spacing w:before="0" w:after="0" w:line="274" w:lineRule="exact"/>
        <w:ind w:left="20" w:right="460" w:firstLine="700"/>
      </w:pPr>
      <w:r>
        <w:rPr>
          <w:lang w:val="ru-RU" w:eastAsia="ru-RU" w:bidi="ru-RU"/>
          <w:w w:val="100"/>
          <w:spacing w:val="0"/>
          <w:color w:val="000000"/>
          <w:position w:val="0"/>
        </w:rPr>
        <w:t>С 01.01.2020г. переход на электронные трудовые книжки осуществляется в добровольном порядке по желанию сотрудника предприятия. Это означает что предприятие продолжает вести и обычные трудовые книжки.</w:t>
      </w:r>
    </w:p>
    <w:p>
      <w:pPr>
        <w:pStyle w:val="Style3"/>
        <w:widowControl w:val="0"/>
        <w:keepNext w:val="0"/>
        <w:keepLines w:val="0"/>
        <w:shd w:val="clear" w:color="auto" w:fill="auto"/>
        <w:bidi w:val="0"/>
        <w:jc w:val="left"/>
        <w:spacing w:before="0" w:after="0" w:line="274" w:lineRule="exact"/>
        <w:ind w:left="20" w:right="60" w:firstLine="700"/>
      </w:pPr>
      <w:r>
        <w:rPr>
          <w:lang w:val="ru-RU" w:eastAsia="ru-RU" w:bidi="ru-RU"/>
          <w:w w:val="100"/>
          <w:spacing w:val="0"/>
          <w:color w:val="000000"/>
          <w:position w:val="0"/>
        </w:rPr>
        <w:t>Сотрудник может получить выписку из электронной трудовой книжки в любое удобное время в личном кабинете на портале госуслуг. Выписка выдается по форме СТД-ПФР и подписывается электронной подписью сотрудника ПФР или получить копию электронной трудовой книжки у работодателя. Она делается по форме сведении о трудовой деЖелъностй</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"ОТД- </w:t>
      </w:r>
      <w:r>
        <w:rPr>
          <w:rStyle w:val="CharStyle20"/>
          <w:vertAlign w:val="superscript"/>
        </w:rPr>
        <w:t>4</w:t>
      </w:r>
      <w:r>
        <w:rPr>
          <w:rStyle w:val="CharStyle20"/>
        </w:rPr>
        <w:t xml:space="preserve"> </w:t>
      </w:r>
      <w:r>
        <w:rPr>
          <w:lang w:val="ru-RU" w:eastAsia="ru-RU" w:bidi="ru-RU"/>
          <w:w w:val="100"/>
          <w:spacing w:val="0"/>
          <w:color w:val="000000"/>
          <w:position w:val="0"/>
        </w:rPr>
        <w:t>Р (Приложение № 1 к Приказу Минтруда РФ № 23н от 20.01.2020). Работодатель обязан выдавать такие сведения сотрудникам, в отношении которых он не ведет трудовые книжки на бумажном бланке. По юридической значимости такой документ равен бумажному.</w:t>
      </w:r>
    </w:p>
    <w:p>
      <w:pPr>
        <w:pStyle w:val="Style3"/>
        <w:widowControl w:val="0"/>
        <w:keepNext w:val="0"/>
        <w:keepLines w:val="0"/>
        <w:shd w:val="clear" w:color="auto" w:fill="auto"/>
        <w:bidi w:val="0"/>
        <w:jc w:val="left"/>
        <w:spacing w:before="0" w:after="0" w:line="274" w:lineRule="exact"/>
        <w:ind w:left="20" w:right="60" w:firstLine="700"/>
      </w:pPr>
      <w:r>
        <w:rPr>
          <w:lang w:val="ru-RU" w:eastAsia="ru-RU" w:bidi="ru-RU"/>
          <w:w w:val="100"/>
          <w:spacing w:val="0"/>
          <w:color w:val="000000"/>
          <w:position w:val="0"/>
        </w:rPr>
        <w:t>Следовательно, участником могут быть предоставлены как копии трудовых книжек, так и копии выписок электронных трудовых книжек.</w:t>
      </w:r>
    </w:p>
    <w:p>
      <w:pPr>
        <w:pStyle w:val="Style3"/>
        <w:widowControl w:val="0"/>
        <w:keepNext w:val="0"/>
        <w:keepLines w:val="0"/>
        <w:shd w:val="clear" w:color="auto" w:fill="auto"/>
        <w:bidi w:val="0"/>
        <w:jc w:val="both"/>
        <w:spacing w:before="0" w:after="0" w:line="274" w:lineRule="exact"/>
        <w:ind w:left="20" w:right="340" w:firstLine="700"/>
      </w:pPr>
      <w:r>
        <w:rPr>
          <w:lang w:val="ru-RU" w:eastAsia="ru-RU" w:bidi="ru-RU"/>
          <w:w w:val="100"/>
          <w:spacing w:val="0"/>
          <w:color w:val="000000"/>
          <w:position w:val="0"/>
        </w:rPr>
        <w:t xml:space="preserve">В соответствии с статьей 4 Федерального закона от 24.07.2007 </w:t>
      </w:r>
      <w:r>
        <w:rPr>
          <w:lang w:val="en-US" w:eastAsia="en-US" w:bidi="en-US"/>
          <w:w w:val="100"/>
          <w:spacing w:val="0"/>
          <w:color w:val="000000"/>
          <w:position w:val="0"/>
        </w:rPr>
        <w:t xml:space="preserve">N </w:t>
      </w:r>
      <w:r>
        <w:rPr>
          <w:lang w:val="ru-RU" w:eastAsia="ru-RU" w:bidi="ru-RU"/>
          <w:w w:val="100"/>
          <w:spacing w:val="0"/>
          <w:color w:val="000000"/>
          <w:position w:val="0"/>
        </w:rPr>
        <w:t>209-фз "О развитии,, малого и среднего предпринимательства в Российской Федерации" к субъектам малого и среднего^ предпринимательства относятся предприятия в которых предельное значение среднесписочной численности работников не должна превышать: для малых предприятий до ста человек, для средних предприятий от ста одного до двухсот пятидесяти человек, что указывает на несостоятельность утверждения подателя жалобы о том, что установленный Заказчиком критерий (о наличии от 61 и выше копий трудовых книжек) приводит к необоснованному преимуществу для крупных предприятий с большей численностью работников.</w:t>
      </w:r>
    </w:p>
    <w:p>
      <w:pPr>
        <w:pStyle w:val="Style3"/>
        <w:widowControl w:val="0"/>
        <w:keepNext w:val="0"/>
        <w:keepLines w:val="0"/>
        <w:shd w:val="clear" w:color="auto" w:fill="auto"/>
        <w:bidi w:val="0"/>
        <w:jc w:val="left"/>
        <w:spacing w:before="0" w:after="0" w:line="274" w:lineRule="exact"/>
        <w:ind w:left="20" w:right="60" w:firstLine="700"/>
      </w:pPr>
      <w:r>
        <w:rPr>
          <w:lang w:val="ru-RU" w:eastAsia="ru-RU" w:bidi="ru-RU"/>
          <w:w w:val="100"/>
          <w:spacing w:val="0"/>
          <w:color w:val="000000"/>
          <w:position w:val="0"/>
        </w:rPr>
        <w:t>Довод жалобы о том, что критерий «Общее количество наград, благсд-рственных писем - выданных на имя участника закупки за производство или поставку продуктов питания,к ,• подтверждается копиями наград, благодарственных писем» необоснованно создает преимущество для участников, имеющих собственное производство продукции, является несостоятельным, так как Заказчиком не установлено предоставление указанных наград только за производство продуктов питания. Учитываются награды как за производство питания, так и за поставку продуктов питания.</w:t>
      </w:r>
    </w:p>
    <w:p>
      <w:pPr>
        <w:pStyle w:val="Style3"/>
        <w:widowControl w:val="0"/>
        <w:keepNext w:val="0"/>
        <w:keepLines w:val="0"/>
        <w:shd w:val="clear" w:color="auto" w:fill="auto"/>
        <w:bidi w:val="0"/>
        <w:jc w:val="left"/>
        <w:spacing w:before="0" w:after="0" w:line="274" w:lineRule="exact"/>
        <w:ind w:left="20" w:right="60" w:firstLine="700"/>
      </w:pPr>
      <w:r>
        <w:rPr>
          <w:lang w:val="ru-RU" w:eastAsia="ru-RU" w:bidi="ru-RU"/>
          <w:w w:val="100"/>
          <w:spacing w:val="0"/>
          <w:color w:val="000000"/>
          <w:position w:val="0"/>
        </w:rPr>
        <w:t>Наличие внедренной системы менеджмента безопасности пищевой продукции указывает на то, что пищевая продукция является безопасной и не оказывает отрицательного воздействия на здоровье потребителя, если она приготовлена и/или употреблена в.,пишу согласно ее"' - предусмотренному назначению. Учитывая, что продукты питания используются Заказчиком для приготовления лечебного питания пациентов, данный критерий является значимым для Заказчика.</w:t>
      </w:r>
    </w:p>
    <w:p>
      <w:pPr>
        <w:pStyle w:val="Style3"/>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На заседании комиссии по рассмотрению жалобы Заказчик пояснил:</w:t>
      </w:r>
    </w:p>
    <w:p>
      <w:pPr>
        <w:pStyle w:val="Style3"/>
        <w:widowControl w:val="0"/>
        <w:keepNext w:val="0"/>
        <w:keepLines w:val="0"/>
        <w:shd w:val="clear" w:color="auto" w:fill="auto"/>
        <w:bidi w:val="0"/>
        <w:jc w:val="both"/>
        <w:spacing w:before="0" w:after="0" w:line="274" w:lineRule="exact"/>
        <w:ind w:left="20" w:right="460" w:firstLine="700"/>
      </w:pPr>
      <w:r>
        <w:rPr>
          <w:lang w:val="ru-RU" w:eastAsia="ru-RU" w:bidi="ru-RU"/>
          <w:w w:val="100"/>
          <w:spacing w:val="0"/>
          <w:color w:val="000000"/>
          <w:position w:val="0"/>
        </w:rPr>
        <w:t>Утверждение ООО «Радуга Вкуса», что указанные критерии выполнимы только для крупных участников рынка, а также приводят к необоснованному ограничению конкуренции и созданию преимущественных условий для каких-либо участников, не состоятельно.</w:t>
      </w:r>
    </w:p>
    <w:p>
      <w:pPr>
        <w:pStyle w:val="Style3"/>
        <w:widowControl w:val="0"/>
        <w:keepNext w:val="0"/>
        <w:keepLines w:val="0"/>
        <w:shd w:val="clear" w:color="auto" w:fill="auto"/>
        <w:bidi w:val="0"/>
        <w:jc w:val="left"/>
        <w:spacing w:before="0" w:after="540" w:line="274" w:lineRule="exact"/>
        <w:ind w:left="20" w:right="60" w:firstLine="700"/>
      </w:pPr>
      <w:r>
        <w:rPr>
          <w:lang w:val="ru-RU" w:eastAsia="ru-RU" w:bidi="ru-RU"/>
          <w:w w:val="100"/>
          <w:spacing w:val="0"/>
          <w:color w:val="000000"/>
          <w:position w:val="0"/>
        </w:rPr>
        <w:t>На основании проведенного анализа аналогичных закупок Заказчика за 2019- 2020 года по 7 указанным критериям соответствуют как минимум два поставщика: ООО «РегионСнаб» среднее?" У предприятие, ООО «Вкуснодей» малое предприятие.</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Заказчиком 24.09.2021г. и 1.10.2021г. были размещены в единой информационной системе запросы цен на поставку продуктов питания в медицинское учреждение для производства лечебного питания пациентов (фрукты, овощи, ягоды сушеные) №0387200000921000298, №0387200000921000373.</w:t>
      </w:r>
    </w:p>
    <w:p>
      <w:pPr>
        <w:pStyle w:val="Style3"/>
        <w:widowControl w:val="0"/>
        <w:keepNext w:val="0"/>
        <w:keepLines w:val="0"/>
        <w:shd w:val="clear" w:color="auto" w:fill="auto"/>
        <w:bidi w:val="0"/>
        <w:jc w:val="both"/>
        <w:spacing w:before="0" w:after="0" w:line="274" w:lineRule="exact"/>
        <w:ind w:left="240" w:right="340"/>
      </w:pPr>
      <w:r>
        <w:rPr>
          <w:lang w:val="ru-RU" w:eastAsia="ru-RU" w:bidi="ru-RU"/>
          <w:vertAlign w:val="subscript"/>
          <w:w w:val="100"/>
          <w:spacing w:val="0"/>
          <w:color w:val="000000"/>
          <w:position w:val="0"/>
        </w:rPr>
        <w:t>#</w:t>
      </w:r>
      <w:r>
        <w:rPr>
          <w:lang w:val="ru-RU" w:eastAsia="ru-RU" w:bidi="ru-RU"/>
          <w:w w:val="100"/>
          <w:spacing w:val="0"/>
          <w:color w:val="000000"/>
          <w:position w:val="0"/>
        </w:rPr>
        <w:t xml:space="preserve"> ^ </w:t>
      </w:r>
      <w:r>
        <w:rPr>
          <w:lang w:val="en-US" w:eastAsia="en-US" w:bidi="en-US"/>
          <w:vertAlign w:val="subscript"/>
          <w:w w:val="100"/>
          <w:spacing w:val="0"/>
          <w:color w:val="000000"/>
          <w:position w:val="0"/>
        </w:rPr>
        <w:t>f</w:t>
      </w:r>
      <w:r>
        <w:rPr>
          <w:lang w:val="en-US" w:eastAsia="en-US" w:bidi="en-US"/>
          <w:w w:val="100"/>
          <w:spacing w:val="0"/>
          <w:color w:val="000000"/>
          <w:position w:val="0"/>
        </w:rPr>
        <w:t xml:space="preserve"> </w:t>
      </w:r>
      <w:r>
        <w:rPr>
          <w:lang w:val="ru-RU" w:eastAsia="ru-RU" w:bidi="ru-RU"/>
          <w:w w:val="100"/>
          <w:spacing w:val="0"/>
          <w:color w:val="000000"/>
          <w:position w:val="0"/>
        </w:rPr>
        <w:t>Проанализировав потенциальных поставщиков Тюменской области и Ханты- Мансийского автономного округа-Югры, а также полученные коммерческие предложения на основании запросов цен, воспользовавшись сервисом предоставления информации о контрагенте на электронной площадке РТС-Тендер Заказчиком был установлен показатель критерия наличие финансовых ресурсов: совокупный годовой оборот денежных средств не менее 1300 000 000 руб. за последние 3 года.</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Заказчиком были установлены контрагенты, соответствующие данному критерию, например ООО "СТК" (ИНН 8602266355), ООО «Регионснаб» (ИНН 7202201915), ООО «Ясень- Агро» (ИНН 7203132238).</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Исходя из того, что ООО «Регионснаб» является средним предприятием, ООО «Ясень- лгро» - малым предприятием, ООО "СТК" - микропредприятием, доводы заявителя о предоставлении преимущества крупным предприятиям не обоснованы.</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Наличие финансовых ресурсов подтверждает наличие у поставщика достаточных возможностей для исполнения контракта, наличие денежной стабильности организации, которая участвует в торгах.</w:t>
      </w:r>
    </w:p>
    <w:p>
      <w:pPr>
        <w:pStyle w:val="Style3"/>
        <w:widowControl w:val="0"/>
        <w:keepNext w:val="0"/>
        <w:keepLines w:val="0"/>
        <w:shd w:val="clear" w:color="auto" w:fill="auto"/>
        <w:bidi w:val="0"/>
        <w:jc w:val="left"/>
        <w:spacing w:before="0" w:after="0" w:line="274" w:lineRule="exact"/>
        <w:ind w:left="60" w:right="220" w:firstLine="920"/>
      </w:pPr>
      <w:r>
        <w:rPr>
          <w:lang w:val="ru-RU" w:eastAsia="ru-RU" w:bidi="ru-RU"/>
          <w:w w:val="100"/>
          <w:spacing w:val="0"/>
          <w:color w:val="000000"/>
          <w:position w:val="0"/>
        </w:rPr>
        <w:t>Ущтывая наличие конкурентного рынка участников на поставку продуктов питания с , "Швокупным-годовым оборотом денежных средств 1300000000 руб. и выше доводы заявителя о чрезмерно завышенном требовании являются необоснованными.</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Показатель Ведомственные награды и звания (выданные органами власти) у сотрудников, состоящих в штате участника закупки на постоянной основе, по основному виду деятельности организации (сельскохозяйственная направленность, оптовой и (или) розничной торговли продуктов питания) является раскрывающим по отношению к критерию деловая репутация, а также связанным с предметом закупки - поставка продуктов питания.</w:t>
      </w:r>
    </w:p>
    <w:p>
      <w:pPr>
        <w:pStyle w:val="Style3"/>
        <w:tabs>
          <w:tab w:leader="none" w:pos="938" w:val="left"/>
        </w:tabs>
        <w:widowControl w:val="0"/>
        <w:keepNext w:val="0"/>
        <w:keepLines w:val="0"/>
        <w:shd w:val="clear" w:color="auto" w:fill="auto"/>
        <w:bidi w:val="0"/>
        <w:jc w:val="both"/>
        <w:spacing w:before="0" w:after="0" w:line="274" w:lineRule="exact"/>
        <w:ind w:left="240" w:right="0"/>
      </w:pPr>
      <w:r>
        <w:rPr>
          <w:lang w:val="ru-RU" w:eastAsia="ru-RU" w:bidi="ru-RU"/>
          <w:w w:val="100"/>
          <w:spacing w:val="0"/>
          <w:color w:val="000000"/>
          <w:position w:val="0"/>
        </w:rPr>
        <w:t>&gt;</w:t>
        <w:tab/>
        <w:t>Знщения показателей критериев- не препятствуют участию в настоящем конкурсе, не</w:t>
      </w:r>
    </w:p>
    <w:p>
      <w:pPr>
        <w:pStyle w:val="Style3"/>
        <w:widowControl w:val="0"/>
        <w:keepNext w:val="0"/>
        <w:keepLines w:val="0"/>
        <w:shd w:val="clear" w:color="auto" w:fill="auto"/>
        <w:bidi w:val="0"/>
        <w:jc w:val="both"/>
        <w:spacing w:before="0" w:after="0" w:line="274" w:lineRule="exact"/>
        <w:ind w:left="240" w:right="340" w:hanging="100"/>
      </w:pPr>
      <w:r>
        <w:rPr>
          <w:lang w:val="ru-RU" w:eastAsia="ru-RU" w:bidi="ru-RU"/>
          <w:w w:val="100"/>
          <w:spacing w:val="0"/>
          <w:color w:val="000000"/>
          <w:position w:val="0"/>
        </w:rPr>
        <w:t>"предрешают исхода закупки, не создают преимуществ конкретному участнику закупки, поскольку предусматривают возможность участникам конкурса конкурировать по всем критериям, установленным заказчиком в конкурсной документации, а также направлены на выбор победителя конкурса лица, наиболее соответствующего потребностям заказчика.</w:t>
      </w:r>
    </w:p>
    <w:p>
      <w:pPr>
        <w:pStyle w:val="Style3"/>
        <w:widowControl w:val="0"/>
        <w:keepNext w:val="0"/>
        <w:keepLines w:val="0"/>
        <w:shd w:val="clear" w:color="auto" w:fill="auto"/>
        <w:bidi w:val="0"/>
        <w:jc w:val="left"/>
        <w:spacing w:before="0" w:after="0" w:line="274" w:lineRule="exact"/>
        <w:ind w:left="60" w:right="220" w:firstLine="920"/>
      </w:pPr>
      <w:r>
        <w:rPr>
          <w:lang w:val="ru-RU" w:eastAsia="ru-RU" w:bidi="ru-RU"/>
          <w:w w:val="100"/>
          <w:spacing w:val="0"/>
          <w:color w:val="000000"/>
          <w:position w:val="0"/>
        </w:rPr>
        <w:t>На основании вышеизложенного, Комиссия Управления приходит к мнению, что непредоставление документов, подтверждающих квалификацию участника конкурса, не является основанием для признания заявки на участие в конкурсе не соответствующей требованиям документации о таком конкурсе, у При осуществлении закупок должен соблюдаться не только принцип обеспечения конкуренции, но и принципы эффективности осуществления закупки и ответственности за результативность обеспечения нужд учреждения.</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Соответственно, действия Заказчика не могут рассматриваться как ограничение потенциального круга участников закупки и нарушение Закона о контрактной системе.</w:t>
      </w:r>
    </w:p>
    <w:p>
      <w:pPr>
        <w:pStyle w:val="Style3"/>
        <w:widowControl w:val="0"/>
        <w:keepNext w:val="0"/>
        <w:keepLines w:val="0"/>
        <w:shd w:val="clear" w:color="auto" w:fill="auto"/>
        <w:bidi w:val="0"/>
        <w:jc w:val="both"/>
        <w:spacing w:before="0" w:after="240" w:line="274" w:lineRule="exact"/>
        <w:ind w:left="240" w:right="0" w:firstLine="720"/>
      </w:pPr>
      <w:r>
        <w:rPr>
          <w:lang w:val="ru-RU" w:eastAsia="ru-RU" w:bidi="ru-RU"/>
          <w:w w:val="100"/>
          <w:spacing w:val="0"/>
          <w:color w:val="000000"/>
          <w:position w:val="0"/>
        </w:rPr>
        <w:t>Исходя из вышеизложенного, довод Заявителя является необоснованным.</w:t>
      </w:r>
    </w:p>
    <w:p>
      <w:pPr>
        <w:pStyle w:val="Style3"/>
        <w:numPr>
          <w:ilvl w:val="0"/>
          <w:numId w:val="7"/>
        </w:numPr>
        <w:tabs>
          <w:tab w:leader="none" w:pos="1263" w:val="left"/>
        </w:tabs>
        <w:widowControl w:val="0"/>
        <w:keepNext w:val="0"/>
        <w:keepLines w:val="0"/>
        <w:shd w:val="clear" w:color="auto" w:fill="auto"/>
        <w:bidi w:val="0"/>
        <w:jc w:val="both"/>
        <w:spacing w:before="0" w:after="0" w:line="274" w:lineRule="exact"/>
        <w:ind w:left="24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3"/>
        <w:widowControl w:val="0"/>
        <w:keepNext w:val="0"/>
        <w:keepLines w:val="0"/>
        <w:shd w:val="clear" w:color="auto" w:fill="auto"/>
        <w:bidi w:val="0"/>
        <w:jc w:val="both"/>
        <w:spacing w:before="0" w:after="0" w:line="274" w:lineRule="exact"/>
        <w:ind w:left="240" w:right="340" w:firstLine="720"/>
      </w:pPr>
      <w:r>
        <w:rPr>
          <w:lang w:val="ru-RU" w:eastAsia="ru-RU" w:bidi="ru-RU"/>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3"/>
        <w:widowControl w:val="0"/>
        <w:keepNext w:val="0"/>
        <w:keepLines w:val="0"/>
        <w:shd w:val="clear" w:color="auto" w:fill="auto"/>
        <w:bidi w:val="0"/>
        <w:jc w:val="both"/>
        <w:spacing w:before="0" w:after="536" w:line="274" w:lineRule="exact"/>
        <w:ind w:left="240" w:right="220" w:firstLine="720"/>
      </w:pPr>
      <w:r>
        <w:rPr>
          <w:lang w:val="ru-RU" w:eastAsia="ru-RU" w:bidi="ru-RU"/>
          <w:w w:val="100"/>
          <w:spacing w:val="0"/>
          <w:color w:val="000000"/>
          <w:position w:val="0"/>
        </w:rPr>
        <w:t>Изучив конкурсную документацию, Комиссией Управления установлено, что указанный в документации ГОСТ Р ИСО 22000-2007 является недействующим с 01.01.2020, взамен него принят ГОСТ Р ИСО 22000-2019.</w:t>
      </w:r>
    </w:p>
    <w:p>
      <w:pPr>
        <w:pStyle w:val="Style3"/>
        <w:tabs>
          <w:tab w:leader="none" w:pos="8458" w:val="right"/>
          <w:tab w:leader="none" w:pos="9505" w:val="left"/>
          <w:tab w:leader="none" w:pos="10033" w:val="left"/>
        </w:tabs>
        <w:widowControl w:val="0"/>
        <w:keepNext w:val="0"/>
        <w:keepLines w:val="0"/>
        <w:shd w:val="clear" w:color="auto" w:fill="auto"/>
        <w:bidi w:val="0"/>
        <w:jc w:val="both"/>
        <w:spacing w:before="0" w:after="0"/>
        <w:ind w:left="20" w:right="460" w:firstLine="700"/>
      </w:pPr>
      <w:r>
        <w:rPr>
          <w:lang w:val="ru-RU" w:eastAsia="ru-RU" w:bidi="ru-RU"/>
          <w:w w:val="100"/>
          <w:spacing w:val="0"/>
          <w:color w:val="000000"/>
          <w:position w:val="0"/>
        </w:rPr>
        <w:t>На заседании комиссии по рассмотрению жалобы Заказчик пояснил, что к оценке принимались сертификаты системы качества как ГОСТ Р ИСО 22000-2007, так и ГОСТ Р ИСО 22000-2019.</w:t>
        <w:tab/>
        <w:t>■■■'■*.</w:t>
        <w:tab/>
        <w:t>&lt;:</w:t>
        <w:tab/>
        <w:t>^</w:t>
      </w:r>
    </w:p>
    <w:p>
      <w:pPr>
        <w:pStyle w:val="Style3"/>
        <w:tabs>
          <w:tab w:leader="none" w:pos="10299" w:val="right"/>
        </w:tabs>
        <w:widowControl w:val="0"/>
        <w:keepNext w:val="0"/>
        <w:keepLines w:val="0"/>
        <w:shd w:val="clear" w:color="auto" w:fill="auto"/>
        <w:bidi w:val="0"/>
        <w:jc w:val="left"/>
        <w:spacing w:before="0" w:after="0" w:line="274" w:lineRule="exact"/>
        <w:ind w:left="20" w:right="360" w:firstLine="700"/>
      </w:pPr>
      <w:r>
        <w:rPr>
          <w:lang w:val="ru-RU" w:eastAsia="ru-RU" w:bidi="ru-RU"/>
          <w:w w:val="100"/>
          <w:spacing w:val="0"/>
          <w:color w:val="000000"/>
          <w:position w:val="0"/>
        </w:rPr>
        <w:t>Вместе с тем, информация, размещенная в ЕИС, должна быть полной и достоверной до этапа подачи заявок в том числе.</w:t>
        <w:tab/>
        <w:t>^</w:t>
      </w:r>
    </w:p>
    <w:p>
      <w:pPr>
        <w:pStyle w:val="Style3"/>
        <w:widowControl w:val="0"/>
        <w:keepNext w:val="0"/>
        <w:keepLines w:val="0"/>
        <w:shd w:val="clear" w:color="auto" w:fill="auto"/>
        <w:bidi w:val="0"/>
        <w:jc w:val="both"/>
        <w:spacing w:before="0" w:after="0" w:line="274" w:lineRule="exact"/>
        <w:ind w:left="20" w:right="460" w:firstLine="700"/>
      </w:pPr>
      <w:r>
        <w:rPr>
          <w:lang w:val="ru-RU" w:eastAsia="ru-RU" w:bidi="ru-RU"/>
          <w:w w:val="100"/>
          <w:spacing w:val="0"/>
          <w:color w:val="000000"/>
          <w:position w:val="0"/>
        </w:rPr>
        <w:t>Таким образом, Заказчиком нарушены положения части 3 статьи 7 Закона о контрактной системе, ответственность за которое предусмотрена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Довод Заявителя является обоснованным.</w:t>
      </w:r>
    </w:p>
    <w:p>
      <w:pPr>
        <w:pStyle w:val="Style3"/>
        <w:widowControl w:val="0"/>
        <w:keepNext w:val="0"/>
        <w:keepLines w:val="0"/>
        <w:shd w:val="clear" w:color="auto" w:fill="auto"/>
        <w:bidi w:val="0"/>
        <w:jc w:val="left"/>
        <w:spacing w:before="0" w:after="0" w:line="274" w:lineRule="exact"/>
        <w:ind w:left="20" w:right="360" w:firstLine="700"/>
      </w:pPr>
      <w:r>
        <w:rPr>
          <w:lang w:val="ru-RU" w:eastAsia="ru-RU" w:bidi="ru-RU"/>
          <w:w w:val="100"/>
          <w:spacing w:val="0"/>
          <w:color w:val="000000"/>
          <w:position w:val="0"/>
        </w:rPr>
        <w:t>Согласно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3"/>
        <w:widowControl w:val="0"/>
        <w:keepNext w:val="0"/>
        <w:keepLines w:val="0"/>
        <w:shd w:val="clear" w:color="auto" w:fill="auto"/>
        <w:bidi w:val="0"/>
        <w:jc w:val="both"/>
        <w:spacing w:before="0" w:after="240" w:line="274" w:lineRule="exact"/>
        <w:ind w:left="20" w:right="0" w:firstLine="700"/>
      </w:pPr>
      <w:r>
        <w:rPr>
          <w:lang w:val="ru-RU" w:eastAsia="ru-RU" w:bidi="ru-RU"/>
          <w:w w:val="100"/>
          <w:spacing w:val="0"/>
          <w:color w:val="000000"/>
          <w:position w:val="0"/>
        </w:rPr>
        <w:t>Участник имел возможность подать запрос о разъяснении положений конкурсной</w:t>
      </w:r>
    </w:p>
    <w:p>
      <w:pPr>
        <w:pStyle w:val="Style3"/>
        <w:widowControl w:val="0"/>
        <w:keepNext w:val="0"/>
        <w:keepLines w:val="0"/>
        <w:shd w:val="clear" w:color="auto" w:fill="auto"/>
        <w:bidi w:val="0"/>
        <w:jc w:val="both"/>
        <w:spacing w:before="0" w:after="0" w:line="274" w:lineRule="exact"/>
        <w:ind w:left="20" w:right="460" w:firstLine="700"/>
      </w:pPr>
      <w:r>
        <w:rPr>
          <w:lang w:val="ru-RU" w:eastAsia="ru-RU" w:bidi="ru-RU"/>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w:t>
      </w:r>
      <w:r>
        <w:rPr>
          <w:lang w:val="ru-RU" w:eastAsia="ru-RU" w:bidi="ru-RU"/>
          <w:vertAlign w:val="subscript"/>
          <w:w w:val="100"/>
          <w:spacing w:val="0"/>
          <w:color w:val="000000"/>
          <w:position w:val="0"/>
        </w:rPr>
        <w:t>{1</w:t>
      </w:r>
      <w:r>
        <w:rPr>
          <w:lang w:val="ru-RU" w:eastAsia="ru-RU" w:bidi="ru-RU"/>
          <w:w w:val="100"/>
          <w:spacing w:val="0"/>
          <w:color w:val="000000"/>
          <w:position w:val="0"/>
        </w:rPr>
        <w:t xml:space="preserve"> контрактной системе в сфере закупок контрольный орган в сфере закупок </w:t>
      </w:r>
      <w:r>
        <w:rPr>
          <w:rStyle w:val="CharStyle31"/>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3"/>
        <w:tabs>
          <w:tab w:leader="none" w:pos="10299" w:val="right"/>
        </w:tabs>
        <w:widowControl w:val="0"/>
        <w:keepNext w:val="0"/>
        <w:keepLines w:val="0"/>
        <w:shd w:val="clear" w:color="auto" w:fill="auto"/>
        <w:bidi w:val="0"/>
        <w:jc w:val="both"/>
        <w:spacing w:before="0" w:after="240" w:line="274" w:lineRule="exact"/>
        <w:ind w:left="20" w:right="460" w:firstLine="700"/>
      </w:pPr>
      <w:r>
        <w:rPr>
          <w:lang w:val="ru-RU" w:eastAsia="ru-RU" w:bidi="ru-RU"/>
          <w:w w:val="100"/>
          <w:spacing w:val="0"/>
          <w:color w:val="000000"/>
          <w:position w:val="0"/>
        </w:rPr>
        <w:t>Комиссией управления установлено, что выявленное нарушение не повлияло на определение поставщика (подрядчика, исполнителя), в связи с чем, решила обязательное для исполнения предписание не выдавать.</w:t>
        <w:tab/>
      </w:r>
      <w:r>
        <w:rPr>
          <w:rStyle w:val="CharStyle31"/>
        </w:rPr>
        <w:t>^</w:t>
      </w:r>
    </w:p>
    <w:p>
      <w:pPr>
        <w:pStyle w:val="Style3"/>
        <w:widowControl w:val="0"/>
        <w:keepNext w:val="0"/>
        <w:keepLines w:val="0"/>
        <w:shd w:val="clear" w:color="auto" w:fill="auto"/>
        <w:bidi w:val="0"/>
        <w:jc w:val="left"/>
        <w:spacing w:before="0" w:after="0" w:line="274" w:lineRule="exact"/>
        <w:ind w:left="20" w:right="360" w:firstLine="700"/>
      </w:pPr>
      <w:r>
        <w:rPr>
          <w:lang w:val="ru-RU" w:eastAsia="ru-RU" w:bidi="ru-RU"/>
          <w:w w:val="100"/>
          <w:spacing w:val="0"/>
          <w:color w:val="000000"/>
          <w:position w:val="0"/>
        </w:rPr>
        <w:t xml:space="preserve">Жалоба ООО «Радуга Вкуса» (ИНН: 8602280328; ОГРН: </w:t>
      </w:r>
      <w:r>
        <w:rPr>
          <w:lang w:val="en-US" w:eastAsia="en-US" w:bidi="en-US"/>
          <w:w w:val="100"/>
          <w:spacing w:val="0"/>
          <w:color w:val="000000"/>
          <w:position w:val="0"/>
        </w:rPr>
        <w:t xml:space="preserve">11786l701615?f </w:t>
      </w:r>
      <w:r>
        <w:rPr>
          <w:lang w:val="ru-RU" w:eastAsia="ru-RU" w:bidi="ru-RU"/>
          <w:w w:val="100"/>
          <w:spacing w:val="0"/>
          <w:color w:val="000000"/>
          <w:position w:val="0"/>
        </w:rPr>
        <w:t>от 03.11.2021 № 10935-ЭП/21-2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both"/>
        <w:spacing w:before="0" w:after="275" w:line="274" w:lineRule="exact"/>
        <w:ind w:left="20" w:right="46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p>
    <w:p>
      <w:pPr>
        <w:pStyle w:val="Style32"/>
        <w:widowControl w:val="0"/>
        <w:keepNext/>
        <w:keepLines/>
        <w:shd w:val="clear" w:color="auto" w:fill="auto"/>
        <w:bidi w:val="0"/>
        <w:jc w:val="left"/>
        <w:spacing w:before="0" w:after="230" w:line="230" w:lineRule="exact"/>
        <w:ind w:left="4560" w:right="0" w:firstLine="0"/>
      </w:pPr>
      <w:bookmarkStart w:id="0" w:name="bookmark0"/>
      <w:r>
        <w:rPr>
          <w:lang w:val="ru-RU" w:eastAsia="ru-RU" w:bidi="ru-RU"/>
          <w:w w:val="100"/>
          <w:spacing w:val="0"/>
          <w:color w:val="000000"/>
          <w:position w:val="0"/>
        </w:rPr>
        <w:t>РЕШИЛА:</w:t>
      </w:r>
      <w:bookmarkEnd w:id="0"/>
    </w:p>
    <w:p>
      <w:pPr>
        <w:pStyle w:val="Style3"/>
        <w:numPr>
          <w:ilvl w:val="0"/>
          <w:numId w:val="9"/>
        </w:numPr>
        <w:tabs>
          <w:tab w:leader="none" w:pos="999" w:val="left"/>
        </w:tabs>
        <w:widowControl w:val="0"/>
        <w:keepNext w:val="0"/>
        <w:keepLines w:val="0"/>
        <w:shd w:val="clear" w:color="auto" w:fill="auto"/>
        <w:bidi w:val="0"/>
        <w:jc w:val="both"/>
        <w:spacing w:before="0" w:after="0"/>
        <w:ind w:left="720" w:right="0" w:firstLine="0"/>
      </w:pPr>
      <w:r>
        <w:rPr>
          <w:lang w:val="ru-RU" w:eastAsia="ru-RU" w:bidi="ru-RU"/>
          <w:w w:val="100"/>
          <w:spacing w:val="0"/>
          <w:color w:val="000000"/>
          <w:position w:val="0"/>
        </w:rPr>
        <w:t>Признать жалобу ООО «Радуга Вкуса» (ИНН: 8602280328; ОГРН 117861,701^) о|,</w:t>
      </w:r>
      <w:r>
        <w:rPr>
          <w:lang w:val="ru-RU" w:eastAsia="ru-RU" w:bidi="ru-RU"/>
          <w:vertAlign w:val="subscript"/>
          <w:w w:val="100"/>
          <w:spacing w:val="0"/>
          <w:color w:val="000000"/>
          <w:position w:val="0"/>
        </w:rPr>
        <w:t>;</w:t>
      </w:r>
    </w:p>
    <w:p>
      <w:pPr>
        <w:pStyle w:val="Style3"/>
        <w:numPr>
          <w:ilvl w:val="0"/>
          <w:numId w:val="11"/>
        </w:numPr>
        <w:tabs>
          <w:tab w:leader="none" w:pos="130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№10935-ЭП/21-2, на действия Заказчика — Бюджетное «учреждение З^анты-’</w:t>
      </w:r>
    </w:p>
    <w:p>
      <w:pPr>
        <w:pStyle w:val="Style3"/>
        <w:widowControl w:val="0"/>
        <w:keepNext w:val="0"/>
        <w:keepLines w:val="0"/>
        <w:shd w:val="clear" w:color="auto" w:fill="auto"/>
        <w:bidi w:val="0"/>
        <w:jc w:val="both"/>
        <w:spacing w:before="0" w:after="0" w:line="274" w:lineRule="exact"/>
        <w:ind w:left="180" w:right="360" w:firstLine="0"/>
      </w:pPr>
      <w:r>
        <w:rPr>
          <w:lang w:val="ru-RU" w:eastAsia="ru-RU" w:bidi="ru-RU"/>
          <w:w w:val="100"/>
          <w:spacing w:val="0"/>
          <w:color w:val="000000"/>
          <w:position w:val="0"/>
        </w:rPr>
        <w:t>Мансийского автономного округа - Югры «Сургутская окружная клиническая больница», при проведении конкурса с ограниченным участием в электронной форме, предметом которого является поставка продуктов питания в медицинское учреждение для производства лечебного питания пациентов (говядина замороженная) (извещение №0387200000921000488) частично обоснованной (второй довод является обоснованным).</w:t>
      </w:r>
    </w:p>
    <w:p>
      <w:pPr>
        <w:pStyle w:val="Style3"/>
        <w:numPr>
          <w:ilvl w:val="0"/>
          <w:numId w:val="9"/>
        </w:numPr>
        <w:tabs>
          <w:tab w:leader="none" w:pos="1260" w:val="left"/>
        </w:tabs>
        <w:widowControl w:val="0"/>
        <w:keepNext w:val="0"/>
        <w:keepLines w:val="0"/>
        <w:shd w:val="clear" w:color="auto" w:fill="auto"/>
        <w:bidi w:val="0"/>
        <w:jc w:val="both"/>
        <w:spacing w:before="0" w:after="0" w:line="274" w:lineRule="exact"/>
        <w:ind w:left="180" w:right="360" w:firstLine="720"/>
      </w:pPr>
      <w:r>
        <w:rPr>
          <w:lang w:val="ru-RU" w:eastAsia="ru-RU" w:bidi="ru-RU"/>
          <w:w w:val="100"/>
          <w:spacing w:val="0"/>
          <w:color w:val="000000"/>
          <w:position w:val="0"/>
        </w:rPr>
        <w:t xml:space="preserve">Признать в действиях Заказчика — Бюджетное учреждение Ханты-Мансийского автономного округа - Югры «Сургутская окружная клиническая больница» нарушение положений части 3 статьи 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left"/>
        <w:spacing w:before="0" w:after="0" w:line="274" w:lineRule="exact"/>
        <w:ind w:left="0" w:right="360" w:firstLine="900"/>
      </w:pPr>
      <w:r>
        <w:rPr>
          <w:lang w:val="ru-RU" w:eastAsia="ru-RU" w:bidi="ru-RU"/>
          <w:w w:val="100"/>
          <w:spacing w:val="0"/>
          <w:color w:val="000000"/>
          <w:position w:val="0"/>
        </w:rPr>
        <w:t>3 Обязательное для исполнения предписание не выдавать, по причине, указанной в Мотивировочной части решения.</w:t>
      </w:r>
    </w:p>
    <w:p>
      <w:pPr>
        <w:pStyle w:val="Style3"/>
        <w:numPr>
          <w:ilvl w:val="0"/>
          <w:numId w:val="13"/>
        </w:numPr>
        <w:widowControl w:val="0"/>
        <w:keepNext w:val="0"/>
        <w:keepLines w:val="0"/>
        <w:shd w:val="clear" w:color="auto" w:fill="auto"/>
        <w:bidi w:val="0"/>
        <w:jc w:val="both"/>
        <w:spacing w:before="0" w:after="0" w:line="274" w:lineRule="exact"/>
        <w:ind w:left="180" w:right="36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 ста.</w:t>
      </w:r>
    </w:p>
    <w:p>
      <w:pPr>
        <w:pStyle w:val="Style3"/>
        <w:numPr>
          <w:ilvl w:val="0"/>
          <w:numId w:val="13"/>
        </w:numPr>
        <w:widowControl w:val="0"/>
        <w:keepNext w:val="0"/>
        <w:keepLines w:val="0"/>
        <w:shd w:val="clear" w:color="auto" w:fill="auto"/>
        <w:bidi w:val="0"/>
        <w:jc w:val="both"/>
        <w:spacing w:before="0" w:after="0" w:line="274" w:lineRule="exact"/>
        <w:ind w:left="180" w:right="36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f</w:t>
      </w:r>
      <w:r>
        <w:fldChar w:fldCharType="begin"/>
      </w:r>
      <w:r>
        <w:rPr>
          <w:rStyle w:val="CharStyle19"/>
        </w:rPr>
        <w:instrText> HYPERLINK "http://www.zakuplri.gov.ml" </w:instrText>
      </w:r>
      <w:r>
        <w:fldChar w:fldCharType="separate"/>
      </w:r>
      <w:r>
        <w:rPr>
          <w:rStyle w:val="Hyperlink"/>
        </w:rPr>
        <w:t>www.zakuplri.gov.ml</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left"/>
        <w:spacing w:before="0" w:after="543" w:line="23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462" w:left="610" w:right="543" w:bottom="8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3.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3.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4"/>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6">
    <w:name w:val="Основной текст (4) Exact"/>
    <w:basedOn w:val="DefaultParagraphFont"/>
    <w:link w:val="Style5"/>
    <w:rPr>
      <w:b w:val="0"/>
      <w:bCs w:val="0"/>
      <w:i/>
      <w:iCs/>
      <w:u w:val="none"/>
      <w:strike w:val="0"/>
      <w:smallCaps w:val="0"/>
      <w:sz w:val="14"/>
      <w:szCs w:val="14"/>
      <w:rFonts w:ascii="SimSun" w:eastAsia="SimSun" w:hAnsi="SimSun" w:cs="SimSun"/>
    </w:rPr>
  </w:style>
  <w:style w:type="character" w:customStyle="1" w:styleId="CharStyle8">
    <w:name w:val="Основной текст (5) Exact"/>
    <w:basedOn w:val="DefaultParagraphFont"/>
    <w:link w:val="Style7"/>
    <w:rPr>
      <w:b w:val="0"/>
      <w:bCs w:val="0"/>
      <w:i/>
      <w:iCs/>
      <w:u w:val="none"/>
      <w:strike w:val="0"/>
      <w:smallCaps w:val="0"/>
      <w:sz w:val="15"/>
      <w:szCs w:val="15"/>
      <w:rFonts w:ascii="Times New Roman" w:eastAsia="Times New Roman" w:hAnsi="Times New Roman" w:cs="Times New Roman"/>
      <w:spacing w:val="-21"/>
    </w:rPr>
  </w:style>
  <w:style w:type="character" w:customStyle="1" w:styleId="CharStyle10">
    <w:name w:val="Основной текст (6) Exact"/>
    <w:basedOn w:val="DefaultParagraphFont"/>
    <w:link w:val="Style9"/>
    <w:rPr>
      <w:b w:val="0"/>
      <w:bCs w:val="0"/>
      <w:i w:val="0"/>
      <w:iCs w:val="0"/>
      <w:u w:val="none"/>
      <w:strike w:val="0"/>
      <w:smallCaps w:val="0"/>
      <w:sz w:val="8"/>
      <w:szCs w:val="8"/>
      <w:rFonts w:ascii="Times New Roman" w:eastAsia="Times New Roman" w:hAnsi="Times New Roman" w:cs="Times New Roman"/>
      <w:spacing w:val="6"/>
    </w:rPr>
  </w:style>
  <w:style w:type="character" w:customStyle="1" w:styleId="CharStyle12">
    <w:name w:val="Основной текст (2)_"/>
    <w:basedOn w:val="DefaultParagraphFont"/>
    <w:link w:val="Style11"/>
    <w:rPr>
      <w:b/>
      <w:bCs/>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2) + 9 pt,Не полужирный"/>
    <w:basedOn w:val="CharStyle12"/>
    <w:rPr>
      <w:lang w:val="ru-RU" w:eastAsia="ru-RU" w:bidi="ru-RU"/>
      <w:b/>
      <w:bCs/>
      <w:sz w:val="18"/>
      <w:szCs w:val="18"/>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3) + Полужирный"/>
    <w:basedOn w:val="CharStyle15"/>
    <w:rPr>
      <w:lang w:val="ru-RU" w:eastAsia="ru-RU" w:bidi="ru-RU"/>
      <w:b/>
      <w:bCs/>
      <w:w w:val="100"/>
      <w:spacing w:val="0"/>
      <w:color w:val="000000"/>
      <w:position w:val="0"/>
    </w:rPr>
  </w:style>
  <w:style w:type="character" w:customStyle="1" w:styleId="CharStyle17">
    <w:name w:val="Основной текст (3) + 7 pt"/>
    <w:basedOn w:val="CharStyle15"/>
    <w:rPr>
      <w:lang w:val="ru-RU" w:eastAsia="ru-RU" w:bidi="ru-RU"/>
      <w:sz w:val="14"/>
      <w:szCs w:val="14"/>
      <w:w w:val="100"/>
      <w:spacing w:val="0"/>
      <w:color w:val="000000"/>
      <w:position w:val="0"/>
    </w:rPr>
  </w:style>
  <w:style w:type="character" w:customStyle="1" w:styleId="CharStyle18">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0">
    <w:name w:val="Основной текст + Курсив,Интервал 1 pt"/>
    <w:basedOn w:val="CharStyle18"/>
    <w:rPr>
      <w:lang w:val="ru-RU" w:eastAsia="ru-RU" w:bidi="ru-RU"/>
      <w:i/>
      <w:iCs/>
      <w:w w:val="100"/>
      <w:spacing w:val="20"/>
      <w:color w:val="000000"/>
      <w:position w:val="0"/>
    </w:rPr>
  </w:style>
  <w:style w:type="character" w:customStyle="1" w:styleId="CharStyle21">
    <w:name w:val="Основной текст + 11 pt"/>
    <w:basedOn w:val="CharStyle18"/>
    <w:rPr>
      <w:lang w:val="ru-RU" w:eastAsia="ru-RU" w:bidi="ru-RU"/>
      <w:sz w:val="22"/>
      <w:szCs w:val="22"/>
      <w:w w:val="100"/>
      <w:spacing w:val="0"/>
      <w:color w:val="000000"/>
      <w:position w:val="0"/>
    </w:rPr>
  </w:style>
  <w:style w:type="character" w:customStyle="1" w:styleId="CharStyle22">
    <w:name w:val="Основной текст + 11 pt"/>
    <w:basedOn w:val="CharStyle18"/>
    <w:rPr>
      <w:lang w:val="ru-RU" w:eastAsia="ru-RU" w:bidi="ru-RU"/>
      <w:sz w:val="22"/>
      <w:szCs w:val="22"/>
      <w:w w:val="100"/>
      <w:spacing w:val="0"/>
      <w:color w:val="000000"/>
      <w:position w:val="0"/>
    </w:rPr>
  </w:style>
  <w:style w:type="character" w:customStyle="1" w:styleId="CharStyle24">
    <w:name w:val="Основной текст (7)_"/>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w:basedOn w:val="CharStyle18"/>
    <w:rPr>
      <w:lang w:val="ru-RU" w:eastAsia="ru-RU" w:bidi="ru-RU"/>
      <w:w w:val="100"/>
      <w:spacing w:val="0"/>
      <w:color w:val="000000"/>
      <w:position w:val="0"/>
    </w:rPr>
  </w:style>
  <w:style w:type="character" w:customStyle="1" w:styleId="CharStyle26">
    <w:name w:val="Основной текст + Курсив,Интервал 1 pt"/>
    <w:basedOn w:val="CharStyle18"/>
    <w:rPr>
      <w:lang w:val="ru-RU" w:eastAsia="ru-RU" w:bidi="ru-RU"/>
      <w:i/>
      <w:iCs/>
      <w:w w:val="100"/>
      <w:spacing w:val="20"/>
      <w:color w:val="000000"/>
      <w:position w:val="0"/>
    </w:rPr>
  </w:style>
  <w:style w:type="character" w:customStyle="1" w:styleId="CharStyle28">
    <w:name w:val="Подпись к таблице_"/>
    <w:basedOn w:val="DefaultParagraphFont"/>
    <w:link w:val="Style27"/>
    <w:rPr>
      <w:b/>
      <w:bCs/>
      <w:i w:val="0"/>
      <w:iCs w:val="0"/>
      <w:u w:val="none"/>
      <w:strike w:val="0"/>
      <w:smallCaps w:val="0"/>
      <w:sz w:val="22"/>
      <w:szCs w:val="22"/>
      <w:rFonts w:ascii="Times New Roman" w:eastAsia="Times New Roman" w:hAnsi="Times New Roman" w:cs="Times New Roman"/>
      <w:spacing w:val="-20"/>
    </w:rPr>
  </w:style>
  <w:style w:type="character" w:customStyle="1" w:styleId="CharStyle30">
    <w:name w:val="Подпись к таблице (2)_"/>
    <w:basedOn w:val="DefaultParagraphFont"/>
    <w:link w:val="Style29"/>
    <w:rPr>
      <w:b w:val="0"/>
      <w:bCs w:val="0"/>
      <w:i/>
      <w:iCs/>
      <w:u w:val="none"/>
      <w:strike w:val="0"/>
      <w:smallCaps w:val="0"/>
      <w:sz w:val="18"/>
      <w:szCs w:val="18"/>
      <w:rFonts w:ascii="Times New Roman" w:eastAsia="Times New Roman" w:hAnsi="Times New Roman" w:cs="Times New Roman"/>
      <w:spacing w:val="10"/>
    </w:rPr>
  </w:style>
  <w:style w:type="character" w:customStyle="1" w:styleId="CharStyle31">
    <w:name w:val="Основной текст + Курсив"/>
    <w:basedOn w:val="CharStyle18"/>
    <w:rPr>
      <w:lang w:val="ru-RU" w:eastAsia="ru-RU" w:bidi="ru-RU"/>
      <w:i/>
      <w:iCs/>
      <w:w w:val="100"/>
      <w:spacing w:val="0"/>
      <w:color w:val="000000"/>
      <w:position w:val="0"/>
    </w:rPr>
  </w:style>
  <w:style w:type="character" w:customStyle="1" w:styleId="CharStyle33">
    <w:name w:val="Заголовок №1_"/>
    <w:basedOn w:val="DefaultParagraphFont"/>
    <w:link w:val="Style32"/>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w:basedOn w:val="Normal"/>
    <w:link w:val="CharStyle18"/>
    <w:pPr>
      <w:widowControl w:val="0"/>
      <w:shd w:val="clear" w:color="auto" w:fill="FFFFFF"/>
      <w:spacing w:before="600" w:line="278" w:lineRule="exact"/>
      <w:ind w:hanging="200"/>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right"/>
      <w:spacing w:after="60" w:line="0" w:lineRule="exact"/>
    </w:pPr>
    <w:rPr>
      <w:b w:val="0"/>
      <w:bCs w:val="0"/>
      <w:i/>
      <w:iCs/>
      <w:u w:val="none"/>
      <w:strike w:val="0"/>
      <w:smallCaps w:val="0"/>
      <w:sz w:val="14"/>
      <w:szCs w:val="14"/>
      <w:rFonts w:ascii="SimSun" w:eastAsia="SimSun" w:hAnsi="SimSun" w:cs="SimSun"/>
    </w:rPr>
  </w:style>
  <w:style w:type="paragraph" w:customStyle="1" w:styleId="Style7">
    <w:name w:val="Основной текст (5)"/>
    <w:basedOn w:val="Normal"/>
    <w:link w:val="CharStyle8"/>
    <w:pPr>
      <w:widowControl w:val="0"/>
      <w:shd w:val="clear" w:color="auto" w:fill="FFFFFF"/>
      <w:spacing w:before="60" w:line="0" w:lineRule="exact"/>
    </w:pPr>
    <w:rPr>
      <w:b w:val="0"/>
      <w:bCs w:val="0"/>
      <w:i/>
      <w:iCs/>
      <w:u w:val="none"/>
      <w:strike w:val="0"/>
      <w:smallCaps w:val="0"/>
      <w:sz w:val="15"/>
      <w:szCs w:val="15"/>
      <w:rFonts w:ascii="Times New Roman" w:eastAsia="Times New Roman" w:hAnsi="Times New Roman" w:cs="Times New Roman"/>
      <w:spacing w:val="-21"/>
    </w:rPr>
  </w:style>
  <w:style w:type="paragraph" w:customStyle="1" w:styleId="Style9">
    <w:name w:val="Основной текст (6)"/>
    <w:basedOn w:val="Normal"/>
    <w:link w:val="CharStyle10"/>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spacing w:val="6"/>
    </w:rPr>
  </w:style>
  <w:style w:type="paragraph" w:customStyle="1" w:styleId="Style11">
    <w:name w:val="Основной текст (2)"/>
    <w:basedOn w:val="Normal"/>
    <w:link w:val="CharStyle12"/>
    <w:pPr>
      <w:widowControl w:val="0"/>
      <w:shd w:val="clear" w:color="auto" w:fill="FFFFFF"/>
      <w:jc w:val="center"/>
      <w:spacing w:after="120" w:line="24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after="60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jc w:val="center"/>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27">
    <w:name w:val="Подпись к таблице"/>
    <w:basedOn w:val="Normal"/>
    <w:link w:val="CharStyle28"/>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29">
    <w:name w:val="Подпись к таблице (2)"/>
    <w:basedOn w:val="Normal"/>
    <w:link w:val="CharStyle30"/>
    <w:pPr>
      <w:widowControl w:val="0"/>
      <w:shd w:val="clear" w:color="auto" w:fill="FFFFFF"/>
      <w:spacing w:line="0" w:lineRule="exact"/>
    </w:pPr>
    <w:rPr>
      <w:b w:val="0"/>
      <w:bCs w:val="0"/>
      <w:i/>
      <w:iCs/>
      <w:u w:val="none"/>
      <w:strike w:val="0"/>
      <w:smallCaps w:val="0"/>
      <w:sz w:val="18"/>
      <w:szCs w:val="18"/>
      <w:rFonts w:ascii="Times New Roman" w:eastAsia="Times New Roman" w:hAnsi="Times New Roman" w:cs="Times New Roman"/>
      <w:spacing w:val="10"/>
    </w:rPr>
  </w:style>
  <w:style w:type="paragraph" w:customStyle="1" w:styleId="Style32">
    <w:name w:val="Заголовок №1"/>
    <w:basedOn w:val="Normal"/>
    <w:link w:val="CharStyle33"/>
    <w:pPr>
      <w:widowControl w:val="0"/>
      <w:shd w:val="clear" w:color="auto" w:fill="FFFFFF"/>
      <w:outlineLvl w:val="0"/>
      <w:spacing w:before="240" w:after="24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