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5"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ГБПОУ ДЗМ «МК №1»</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1" w:left="1342" w:right="7390" w:bottom="371" w:header="0" w:footer="3" w:gutter="0"/>
          <w:rtlGutter w:val="0"/>
          <w:cols w:space="720"/>
          <w:noEndnote/>
          <w:docGrid w:linePitch="360"/>
        </w:sectPr>
      </w:pPr>
      <w:r>
        <w:rPr>
          <w:rStyle w:val="CharStyle7"/>
          <w:b/>
          <w:bCs/>
        </w:rPr>
        <w:t>ФЕДЕРАЛЬНАЯ АНТИМОНОПОЛЬНАЯ СЛУЖБА</w:t>
      </w:r>
    </w:p>
    <w:p>
      <w:pPr>
        <w:widowControl w:val="0"/>
        <w:spacing w:line="168"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70" w:wrap="around" w:vAnchor="text" w:hAnchor="margin" w:x="-3892" w:y="57"/>
        <w:widowControl w:val="0"/>
        <w:keepNext w:val="0"/>
        <w:keepLines w:val="0"/>
        <w:shd w:val="clear" w:color="auto" w:fill="auto"/>
        <w:bidi w:val="0"/>
        <w:jc w:val="left"/>
        <w:spacing w:before="0" w:after="0" w:line="170" w:lineRule="exact"/>
        <w:ind w:left="0" w:right="0" w:firstLine="0"/>
      </w:pPr>
      <w:r>
        <w:rPr>
          <w:rStyle w:val="CharStyle9"/>
          <w:b/>
          <w:bCs/>
          <w:spacing w:val="0"/>
        </w:rPr>
        <w:t>УПРАВЛЕ</w:t>
      </w:r>
      <w:r>
        <w:rPr>
          <w:rStyle w:val="CharStyle10"/>
          <w:b/>
          <w:bCs/>
          <w:spacing w:val="0"/>
        </w:rPr>
        <w:t>НИЕ</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6152" w:right="1122" w:bottom="371" w:header="0" w:footer="3" w:gutter="0"/>
          <w:rtlGutter w:val="0"/>
          <w:cols w:space="720"/>
          <w:noEndnote/>
          <w:docGrid w:linePitch="360"/>
        </w:sectPr>
      </w:pPr>
      <w:r>
        <w:rPr>
          <w:lang w:val="ru-RU" w:eastAsia="ru-RU" w:bidi="ru-RU"/>
          <w:w w:val="100"/>
          <w:spacing w:val="0"/>
          <w:color w:val="000000"/>
          <w:position w:val="0"/>
        </w:rPr>
        <w:t>пр-кт Ленинский, д. 35А, г. Москва,</w:t>
      </w: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notBeside" w:hAnchor="margin" w:x="3686" w:y="2127"/>
        <w:widowControl w:val="0"/>
        <w:keepNext w:val="0"/>
        <w:keepLines w:val="0"/>
        <w:shd w:val="clear" w:color="auto" w:fill="auto"/>
        <w:bidi w:val="0"/>
        <w:jc w:val="left"/>
        <w:spacing w:before="0" w:after="0" w:line="240" w:lineRule="exact"/>
        <w:ind w:left="100" w:right="0" w:firstLine="0"/>
      </w:pPr>
      <w:r>
        <w:rPr>
          <w:rStyle w:val="CharStyle4"/>
          <w:spacing w:val="0"/>
        </w:rPr>
        <w:t>119071</w:t>
      </w:r>
    </w:p>
    <w:p>
      <w:pPr>
        <w:pStyle w:val="Style5"/>
        <w:widowControl w:val="0"/>
        <w:keepNext w:val="0"/>
        <w:keepLines w:val="0"/>
        <w:shd w:val="clear" w:color="auto" w:fill="auto"/>
        <w:bidi w:val="0"/>
        <w:jc w:val="left"/>
        <w:spacing w:before="0" w:after="0" w:line="180" w:lineRule="exact"/>
        <w:ind w:left="0" w:right="0" w:firstLine="0"/>
        <w:sectPr>
          <w:type w:val="continuous"/>
          <w:pgSz w:w="11906" w:h="16838"/>
          <w:pgMar w:top="121" w:left="2394" w:right="8231" w:bottom="371" w:header="0" w:footer="3" w:gutter="0"/>
          <w:rtlGutter w:val="0"/>
          <w:cols w:space="720"/>
          <w:noEndnote/>
          <w:docGrid w:linePitch="360"/>
        </w:sectPr>
      </w:pPr>
      <w:r>
        <w:rPr>
          <w:rStyle w:val="CharStyle7"/>
          <w:b/>
          <w:bCs/>
        </w:rPr>
        <w:t>по г. Москве</w:t>
      </w:r>
    </w:p>
    <w:p>
      <w:pPr>
        <w:widowControl w:val="0"/>
        <w:spacing w:line="19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81"/>
        <w:ind w:left="0" w:right="0" w:firstLine="0"/>
      </w:pPr>
      <w:r>
        <w:rPr>
          <w:rStyle w:val="CharStyle14"/>
        </w:rPr>
        <w:t xml:space="preserve">Мясницкий проезд, д.4, стр. 1 107078, г. Москва, тел. (495) 784-75-05, факс (495) 607-49-29 факс (495) 607-42-92, </w:t>
      </w:r>
      <w:r>
        <w:rPr>
          <w:rStyle w:val="CharStyle15"/>
        </w:rPr>
        <w:t>e-mail: to77@,fas.gov.ru</w:t>
      </w:r>
    </w:p>
    <w:p>
      <w:pPr>
        <w:pStyle w:val="Style16"/>
        <w:widowControl w:val="0"/>
        <w:keepNext w:val="0"/>
        <w:keepLines w:val="0"/>
        <w:shd w:val="clear" w:color="auto" w:fill="auto"/>
        <w:bidi w:val="0"/>
        <w:spacing w:before="0" w:after="0" w:line="170" w:lineRule="exact"/>
        <w:ind w:left="0" w:right="0" w:firstLine="0"/>
      </w:pPr>
      <w:r>
        <w:rPr>
          <w:rStyle w:val="CharStyle18"/>
        </w:rPr>
        <w:t>№</w:t>
      </w:r>
    </w:p>
    <w:p>
      <w:pPr>
        <w:pStyle w:val="Style3"/>
        <w:widowControl w:val="0"/>
        <w:keepNext w:val="0"/>
        <w:keepLines w:val="0"/>
        <w:shd w:val="clear" w:color="auto" w:fill="auto"/>
        <w:bidi w:val="0"/>
        <w:jc w:val="left"/>
        <w:spacing w:before="0" w:after="357" w:line="260" w:lineRule="exact"/>
        <w:ind w:left="0" w:right="0" w:firstLine="0"/>
      </w:pPr>
      <w:r>
        <w:rPr>
          <w:lang w:val="ru-RU" w:eastAsia="ru-RU" w:bidi="ru-RU"/>
          <w:w w:val="100"/>
          <w:spacing w:val="0"/>
          <w:color w:val="000000"/>
          <w:position w:val="0"/>
        </w:rPr>
        <w:t>ИП Быков А.Ю.</w:t>
      </w:r>
    </w:p>
    <w:p>
      <w:pPr>
        <w:pStyle w:val="Style3"/>
        <w:widowControl w:val="0"/>
        <w:keepNext w:val="0"/>
        <w:keepLines w:val="0"/>
        <w:shd w:val="clear" w:color="auto" w:fill="auto"/>
        <w:bidi w:val="0"/>
        <w:jc w:val="left"/>
        <w:spacing w:before="0" w:after="2" w:line="260" w:lineRule="exact"/>
        <w:ind w:left="0" w:right="0" w:firstLine="0"/>
      </w:pPr>
      <w:r>
        <w:fldChar w:fldCharType="begin"/>
      </w:r>
      <w:r>
        <w:rPr>
          <w:color w:val="000000"/>
        </w:rPr>
        <w:instrText> HYPERLINK "mailto:flashmarion14@gmail.com" </w:instrText>
      </w:r>
      <w:r>
        <w:fldChar w:fldCharType="separate"/>
      </w:r>
      <w:r>
        <w:rPr>
          <w:rStyle w:val="Hyperlink"/>
          <w:lang w:val="en-US" w:eastAsia="en-US" w:bidi="en-US"/>
          <w:w w:val="100"/>
          <w:spacing w:val="0"/>
          <w:position w:val="0"/>
        </w:rPr>
        <w:t>flashmarion14@gmail.com</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1074" w:right="2629" w:bottom="371" w:header="0" w:footer="3" w:gutter="0"/>
          <w:rtlGutter w:val="0"/>
          <w:cols w:num="2" w:space="720" w:equalWidth="0">
            <w:col w:w="3715" w:space="1358"/>
            <w:col w:w="3130"/>
          </w:cols>
          <w:noEndnote/>
          <w:docGrid w:linePitch="360"/>
        </w:sectPr>
      </w:pPr>
      <w:r>
        <w:fldChar w:fldCharType="begin"/>
      </w:r>
      <w:r>
        <w:rPr>
          <w:color w:val="000000"/>
        </w:rPr>
        <w:instrText> HYPERLINK "mailto:info@sursys.ru" </w:instrText>
      </w:r>
      <w:r>
        <w:fldChar w:fldCharType="separate"/>
      </w:r>
      <w:r>
        <w:rPr>
          <w:rStyle w:val="Hyperlink"/>
          <w:lang w:val="en-US" w:eastAsia="en-US" w:bidi="en-US"/>
          <w:w w:val="100"/>
          <w:spacing w:val="0"/>
          <w:position w:val="0"/>
        </w:rPr>
        <w:t>info@sursys.ru</w:t>
      </w:r>
      <w:r>
        <w:fldChar w:fldCharType="end"/>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0"/>
          <w:spacing w:val="0"/>
        </w:rPr>
        <w:t>от</w:t>
      </w:r>
    </w:p>
    <w:p>
      <w:pPr>
        <w:pStyle w:val="Style21"/>
        <w:widowControl w:val="0"/>
        <w:keepNext w:val="0"/>
        <w:keepLines w:val="0"/>
        <w:shd w:val="clear" w:color="auto" w:fill="auto"/>
        <w:bidi w:val="0"/>
        <w:jc w:val="left"/>
        <w:spacing w:before="0" w:after="0" w:line="170" w:lineRule="exact"/>
        <w:ind w:left="0" w:right="0" w:firstLine="0"/>
        <w:sectPr>
          <w:type w:val="continuous"/>
          <w:pgSz w:w="11906" w:h="16838"/>
          <w:pgMar w:top="121" w:left="882" w:right="10386" w:bottom="371" w:header="0" w:footer="3" w:gutter="0"/>
          <w:rtlGutter w:val="0"/>
          <w:cols w:space="720"/>
          <w:noEndnote/>
          <w:docGrid w:linePitch="360"/>
        </w:sectPr>
      </w:pPr>
      <w:r>
        <w:rPr>
          <w:rStyle w:val="CharStyle23"/>
        </w:rPr>
        <w:t>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420" w:wrap="around" w:vAnchor="text" w:hAnchor="margin" w:x="-2202" w:y="-81"/>
        <w:widowControl w:val="0"/>
        <w:keepNext w:val="0"/>
        <w:keepLines w:val="0"/>
        <w:shd w:val="clear" w:color="auto" w:fill="auto"/>
        <w:bidi w:val="0"/>
        <w:jc w:val="left"/>
        <w:spacing w:before="0" w:after="0" w:line="420" w:lineRule="exact"/>
        <w:ind w:left="0" w:right="0" w:firstLine="0"/>
      </w:pPr>
      <w:r>
        <w:rPr>
          <w:rStyle w:val="CharStyle26"/>
          <w:b/>
          <w:bCs/>
        </w:rPr>
        <w:t>Г</w:t>
      </w:r>
    </w:p>
    <w:p>
      <w:pPr>
        <w:pStyle w:val="Style27"/>
        <w:widowControl w:val="0"/>
        <w:keepNext w:val="0"/>
        <w:keepLines w:val="0"/>
        <w:shd w:val="clear" w:color="auto" w:fill="auto"/>
        <w:bidi w:val="0"/>
        <w:jc w:val="left"/>
        <w:spacing w:before="0" w:after="602" w:line="540" w:lineRule="exact"/>
        <w:ind w:left="1600" w:right="0" w:firstLine="0"/>
      </w:pPr>
      <w:r>
        <w:rPr>
          <w:rStyle w:val="CharStyle29"/>
        </w:rPr>
        <w:t>п</w:t>
      </w:r>
    </w:p>
    <w:p>
      <w:pPr>
        <w:pStyle w:val="Style30"/>
        <w:widowControl w:val="0"/>
        <w:keepNext w:val="0"/>
        <w:keepLines w:val="0"/>
        <w:shd w:val="clear" w:color="auto" w:fill="auto"/>
        <w:bidi w:val="0"/>
        <w:spacing w:before="0" w:after="0"/>
        <w:ind w:left="0" w:right="0" w:firstLine="0"/>
        <w:sectPr>
          <w:type w:val="continuous"/>
          <w:pgSz w:w="11906" w:h="16838"/>
          <w:pgMar w:top="121" w:left="3075" w:right="2806" w:bottom="371" w:header="0" w:footer="3" w:gutter="0"/>
          <w:rtlGutter w:val="0"/>
          <w:cols w:space="720"/>
          <w:noEndnote/>
          <w:docGrid w:linePitch="360"/>
        </w:sectPr>
      </w:pPr>
      <w:r>
        <w:rPr>
          <w:lang w:val="ru-RU" w:eastAsia="ru-RU" w:bidi="ru-RU"/>
          <w:w w:val="100"/>
          <w:spacing w:val="0"/>
          <w:color w:val="000000"/>
          <w:position w:val="0"/>
        </w:rPr>
        <w:t>РЕШЕНИЕ по делу № 077/06/106-19768/2021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framePr w:h="240" w:wrap="around" w:vAnchor="text" w:hAnchor="margin" w:x="8275" w:y="6"/>
        <w:widowControl w:val="0"/>
        <w:keepNext w:val="0"/>
        <w:keepLines w:val="0"/>
        <w:shd w:val="clear" w:color="auto" w:fill="auto"/>
        <w:bidi w:val="0"/>
        <w:jc w:val="left"/>
        <w:spacing w:before="0" w:after="0" w:line="240" w:lineRule="exact"/>
        <w:ind w:left="100" w:right="0" w:firstLine="0"/>
      </w:pPr>
      <w:r>
        <w:rPr>
          <w:rStyle w:val="CharStyle32"/>
          <w:b/>
          <w:bCs/>
          <w:spacing w:val="0"/>
        </w:rPr>
        <w:t>г. Москва</w:t>
      </w:r>
    </w:p>
    <w:p>
      <w:pPr>
        <w:pStyle w:val="Style33"/>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11.11.2021</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1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Н.С. Лушниковой,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tabs>
          <w:tab w:leader="none" w:pos="603"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представители ГБПОУ ДЗМ «МК №1» участвовали в заседании Комиссии Управления посредством конференц-связи,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ИП Быков А.Ю., о времени и порядке заседания Комиссии уведомленных письмом Московского УФАС России от 08.11.2021 №ЕИ/67529/21,</w:t>
      </w:r>
    </w:p>
    <w:p>
      <w:pPr>
        <w:pStyle w:val="Style3"/>
        <w:widowControl w:val="0"/>
        <w:keepNext w:val="0"/>
        <w:keepLines w:val="0"/>
        <w:shd w:val="clear" w:color="auto" w:fill="auto"/>
        <w:bidi w:val="0"/>
        <w:jc w:val="both"/>
        <w:spacing w:before="0" w:after="296" w:line="322" w:lineRule="exact"/>
        <w:ind w:left="20" w:right="20" w:firstLine="680"/>
      </w:pPr>
      <w:r>
        <w:rPr>
          <w:lang w:val="ru-RU" w:eastAsia="ru-RU" w:bidi="ru-RU"/>
          <w:w w:val="100"/>
          <w:spacing w:val="0"/>
          <w:color w:val="000000"/>
          <w:position w:val="0"/>
        </w:rPr>
        <w:t>рассмотрев жалобу ИП Быков А.Ю. (далее — Заявитель) на действия ГБПОУ ДЗМ «МК №1» (далее — Заказчик) при проведении электронного аукциона на право заключения государственного контракта на выполнение работ по ремонту системы безопасности и автоматики на территории ГБПОУ ДЗМ «МК № 1» по адресу:</w:t>
      </w:r>
    </w:p>
    <w:p>
      <w:pPr>
        <w:pStyle w:val="Style35"/>
        <w:widowControl w:val="0"/>
        <w:keepNext w:val="0"/>
        <w:keepLines w:val="0"/>
        <w:shd w:val="clear" w:color="auto" w:fill="auto"/>
        <w:bidi w:val="0"/>
        <w:jc w:val="left"/>
        <w:spacing w:before="0" w:after="0" w:line="240" w:lineRule="auto"/>
        <w:ind w:left="0" w:right="0" w:firstLine="0"/>
        <w:sectPr>
          <w:type w:val="continuous"/>
          <w:pgSz w:w="11906" w:h="16838"/>
          <w:pgMar w:top="121" w:left="848" w:right="848" w:bottom="371" w:header="0" w:footer="3" w:gutter="0"/>
          <w:rtlGutter w:val="0"/>
          <w:cols w:space="720"/>
          <w:noEndnote/>
          <w:docGrid w:linePitch="360"/>
        </w:sectPr>
      </w:pPr>
      <w:r>
        <w:rPr>
          <w:w w:val="100"/>
          <w:spacing w:val="0"/>
          <w:color w:val="000000"/>
          <w:position w:val="0"/>
        </w:rPr>
        <w:t>000305021641</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г.Москва, Каширское шоссе, д.15, корпус 2 (Закупка № 0373200080921000008)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37"/>
        <w:widowControl w:val="0"/>
        <w:keepNext/>
        <w:keepLines/>
        <w:shd w:val="clear" w:color="auto" w:fill="auto"/>
        <w:bidi w:val="0"/>
        <w:spacing w:before="0" w:after="304" w:line="260" w:lineRule="exact"/>
        <w:ind w:left="20" w:right="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ЕИ/67529/21 от 08.11.2021.</w:t>
      </w:r>
    </w:p>
    <w:p>
      <w:pPr>
        <w:pStyle w:val="Style3"/>
        <w:tabs>
          <w:tab w:leader="none" w:pos="6414" w:val="right"/>
          <w:tab w:leader="none" w:pos="7316"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29.10.2021</w:t>
        <w:tab/>
        <w:t>№0373200080921000008-1</w:t>
        <w:tab/>
        <w:t>заявка Заявителя,</w:t>
      </w:r>
    </w:p>
    <w:p>
      <w:pPr>
        <w:pStyle w:val="Style3"/>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с идентификационным номером 1, признана не соответствующей требованиям аукционной документации на следующем основании: «Заявка участника отклонена на основании пункта 2 части 4 статьи 67 Закона о контрактной системе в связи с несоответствием информации, предусмотренной частью 3 статьи 66 Закона о контрактной системе, требованиям документации о таком аукционе, а именно: в соответствии с Техническим заданием требуется «п.2. ч. 4 ст. 67 44.-ФЗ - несоответствие информации, предусмотренной ч. З ст. 66 44-Фз, требованиям документации о таком аукционе, а именно: п.6 «Маршрутизагор. тип 1» требуется: «Маршрутизатор: тип интерфейса консольного порта»: </w:t>
      </w:r>
      <w:r>
        <w:rPr>
          <w:lang w:val="en-US" w:eastAsia="en-US" w:bidi="en-US"/>
          <w:w w:val="100"/>
          <w:spacing w:val="0"/>
          <w:color w:val="000000"/>
          <w:position w:val="0"/>
        </w:rPr>
        <w:t xml:space="preserve">«[RI-45] </w:t>
      </w:r>
      <w:r>
        <w:rPr>
          <w:lang w:val="ru-RU" w:eastAsia="ru-RU" w:bidi="ru-RU"/>
          <w:w w:val="100"/>
          <w:spacing w:val="0"/>
          <w:color w:val="000000"/>
          <w:position w:val="0"/>
        </w:rPr>
        <w:t xml:space="preserve">; </w:t>
      </w:r>
      <w:r>
        <w:rPr>
          <w:lang w:val="en-US" w:eastAsia="en-US" w:bidi="en-US"/>
          <w:w w:val="100"/>
          <w:spacing w:val="0"/>
          <w:color w:val="000000"/>
          <w:position w:val="0"/>
        </w:rPr>
        <w:t xml:space="preserve">[RS-232]», </w:t>
      </w:r>
      <w:r>
        <w:rPr>
          <w:lang w:val="ru-RU" w:eastAsia="ru-RU" w:bidi="ru-RU"/>
          <w:w w:val="100"/>
          <w:spacing w:val="0"/>
          <w:color w:val="000000"/>
          <w:position w:val="0"/>
        </w:rPr>
        <w:t xml:space="preserve">участник указывает: </w:t>
      </w:r>
      <w:r>
        <w:rPr>
          <w:lang w:val="en-US" w:eastAsia="en-US" w:bidi="en-US"/>
          <w:w w:val="100"/>
          <w:spacing w:val="0"/>
          <w:color w:val="000000"/>
          <w:position w:val="0"/>
        </w:rPr>
        <w:t xml:space="preserve">«[RJ-45] </w:t>
      </w:r>
      <w:r>
        <w:rPr>
          <w:lang w:val="ru-RU" w:eastAsia="ru-RU" w:bidi="ru-RU"/>
          <w:w w:val="100"/>
          <w:spacing w:val="0"/>
          <w:color w:val="000000"/>
          <w:position w:val="0"/>
        </w:rPr>
        <w:t>; [RS-2З 2]», что противоречит требованиям документации согласно которой: В случае, если значения или диапазоны значений параметра указаны с использованием символа «точка с запятой», союза «или», означает одно из указанных значений или диапазонов значений, указанных через данный символ».</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Техническим заданием аукционной документации установлены требования к характеристикам необходимых товаров, в том числе по п.6 «Маршрутизатор. тип 1»: «Маршрутизатор: тип интерфейса консольного порта: </w:t>
      </w:r>
      <w:r>
        <w:rPr>
          <w:lang w:val="en-US" w:eastAsia="en-US" w:bidi="en-US"/>
          <w:w w:val="100"/>
          <w:spacing w:val="0"/>
          <w:color w:val="000000"/>
          <w:position w:val="0"/>
        </w:rPr>
        <w:t xml:space="preserve">[RJ-45] </w:t>
      </w:r>
      <w:r>
        <w:rPr>
          <w:lang w:val="ru-RU" w:eastAsia="ru-RU" w:bidi="ru-RU"/>
          <w:w w:val="100"/>
          <w:spacing w:val="0"/>
          <w:color w:val="000000"/>
          <w:position w:val="0"/>
        </w:rPr>
        <w:t xml:space="preserve">; </w:t>
      </w:r>
      <w:r>
        <w:rPr>
          <w:lang w:val="en-US" w:eastAsia="en-US" w:bidi="en-US"/>
          <w:w w:val="100"/>
          <w:spacing w:val="0"/>
          <w:color w:val="000000"/>
          <w:position w:val="0"/>
        </w:rPr>
        <w:t>[RS-232]».</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Также в аукционной документации установлены правила чтения слов, символов и знаков, используемых в техническом задании заказчика, в том числе установлены следующие правила: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«точка с запятой», союза «или», означает одно из указанных значений или диапазонов значений, указанных через данный символ».</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случае указания требуемого значения с использованием символа «[ ]» вне зависимости от применения иных символов (знаков, союзов, слов), установленных настоящей инструкцией, данный показатель не может изменяться».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Комиссией Управления установлено, что в составе первой части заявки на участие в аукционе участник закупки выразил согласие на выполнение работ на условиях аукционной документации, а также представил конкретные сведения о товарах, в том числе по п.6 «Маршрутизатор. тип 1»: «Маршрутизатор: тип интерфейса консольного порта: </w:t>
      </w:r>
      <w:r>
        <w:rPr>
          <w:lang w:val="en-US" w:eastAsia="en-US" w:bidi="en-US"/>
          <w:w w:val="100"/>
          <w:spacing w:val="0"/>
          <w:color w:val="000000"/>
          <w:position w:val="0"/>
        </w:rPr>
        <w:t xml:space="preserve">[RJ-45] </w:t>
      </w:r>
      <w:r>
        <w:rPr>
          <w:lang w:val="ru-RU" w:eastAsia="ru-RU" w:bidi="ru-RU"/>
          <w:w w:val="100"/>
          <w:spacing w:val="0"/>
          <w:color w:val="000000"/>
          <w:position w:val="0"/>
        </w:rPr>
        <w:t xml:space="preserve">; </w:t>
      </w:r>
      <w:r>
        <w:rPr>
          <w:lang w:val="en-US" w:eastAsia="en-US" w:bidi="en-US"/>
          <w:w w:val="100"/>
          <w:spacing w:val="0"/>
          <w:color w:val="000000"/>
          <w:position w:val="0"/>
        </w:rPr>
        <w:t>[RS-232]».</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На заседании Комиссии Управления представитель Заказчика пояснил, что аукционная комиссия Заказчика отклонила заявку Заявителя на основании не соответствия предлагаемых характеристик товара требованиям аукционной документации по п.6 «Маршрутизатор. Тип 1», так как участнику закупки по характеристике «Маршрутизатор: тип интерфейса консольного порта» надлежало выбрать одно из двух неизменяемых значений указанных с использованием знака «[ ]», а не представить всю характеристику в неизменном виде, ввиду того что знак «[ ]» установлен не в отношении всей характеристики, а отдельно в отношении каждого из возможных параметров характеристики.</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Комиссией Управления установлено, что заявка Заявителя противоречит требованиям аукционной документации, с учетом положений Инструкции.</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 ч.4 ст. 67 Закона о контрактной системе, не допускается.</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0" w:line="322" w:lineRule="exact"/>
        <w:ind w:left="0" w:right="20" w:firstLine="720"/>
        <w:sectPr>
          <w:pgSz w:w="11906" w:h="16838"/>
          <w:pgMar w:top="1259" w:left="846" w:right="849" w:bottom="1134"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30"/>
        <w:widowControl w:val="0"/>
        <w:keepNext w:val="0"/>
        <w:keepLines w:val="0"/>
        <w:shd w:val="clear" w:color="auto" w:fill="auto"/>
        <w:bidi w:val="0"/>
        <w:spacing w:before="0" w:after="299" w:line="260" w:lineRule="exact"/>
        <w:ind w:left="20" w:right="0" w:firstLine="0"/>
      </w:pPr>
      <w:r>
        <w:rPr>
          <w:lang w:val="ru-RU" w:eastAsia="ru-RU" w:bidi="ru-RU"/>
          <w:w w:val="100"/>
          <w:spacing w:val="0"/>
          <w:color w:val="000000"/>
          <w:position w:val="0"/>
        </w:rPr>
        <w:t>Р Е Ш И Л А:</w:t>
      </w:r>
    </w:p>
    <w:p>
      <w:pPr>
        <w:pStyle w:val="Style3"/>
        <w:numPr>
          <w:ilvl w:val="0"/>
          <w:numId w:val="3"/>
        </w:numPr>
        <w:widowControl w:val="0"/>
        <w:keepNext w:val="0"/>
        <w:keepLines w:val="0"/>
        <w:shd w:val="clear" w:color="auto" w:fill="auto"/>
        <w:bidi w:val="0"/>
        <w:jc w:val="both"/>
        <w:spacing w:before="0" w:after="0" w:line="326" w:lineRule="exact"/>
        <w:ind w:left="0" w:right="20" w:firstLine="700"/>
      </w:pPr>
      <w:r>
        <w:rPr>
          <w:lang w:val="ru-RU" w:eastAsia="ru-RU" w:bidi="ru-RU"/>
          <w:w w:val="100"/>
          <w:spacing w:val="0"/>
          <w:color w:val="000000"/>
          <w:position w:val="0"/>
        </w:rPr>
        <w:t xml:space="preserve"> Признать жалобу ИП Быков А.Ю. на действия аукционной комиссии ГБПОУ ДЗМ «МК №1» необоснованной.</w:t>
      </w:r>
    </w:p>
    <w:p>
      <w:pPr>
        <w:pStyle w:val="Style3"/>
        <w:numPr>
          <w:ilvl w:val="0"/>
          <w:numId w:val="3"/>
        </w:numPr>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ЕО/32541/21 от 04.06.2021.</w:t>
      </w:r>
    </w:p>
    <w:p>
      <w:pPr>
        <w:pStyle w:val="Style3"/>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710" w:val="right"/>
          <w:tab w:leader="none" w:pos="10174"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3"/>
        <w:tabs>
          <w:tab w:leader="none" w:pos="10174" w:val="right"/>
          <w:tab w:leader="none" w:pos="1019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Н.С.</w:t>
        <w:tab/>
        <w:t>Лушникова</w:t>
      </w:r>
    </w:p>
    <w:p>
      <w:pPr>
        <w:pStyle w:val="Style3"/>
        <w:widowControl w:val="0"/>
        <w:keepNext w:val="0"/>
        <w:keepLines w:val="0"/>
        <w:shd w:val="clear" w:color="auto" w:fill="auto"/>
        <w:bidi w:val="0"/>
        <w:jc w:val="right"/>
        <w:spacing w:before="0" w:after="7555" w:line="643" w:lineRule="exact"/>
        <w:ind w:left="0" w:right="20" w:firstLine="0"/>
      </w:pPr>
      <w:r>
        <w:rPr>
          <w:lang w:val="ru-RU" w:eastAsia="ru-RU" w:bidi="ru-RU"/>
          <w:w w:val="100"/>
          <w:spacing w:val="0"/>
          <w:color w:val="000000"/>
          <w:position w:val="0"/>
        </w:rPr>
        <w:t>А.А. Матюшенко</w:t>
      </w:r>
    </w:p>
    <w:p>
      <w:pPr>
        <w:pStyle w:val="Style39"/>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Матюшенко А.А., 8(495) 784-75-05</w:t>
      </w:r>
    </w:p>
    <w:sectPr>
      <w:type w:val="continuous"/>
      <w:pgSz w:w="11906" w:h="16838"/>
      <w:pgMar w:top="1269" w:left="850" w:right="850" w:bottom="26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2) Exact"/>
    <w:basedOn w:val="CharStyle6"/>
    <w:rPr>
      <w:lang w:val="ru-RU" w:eastAsia="ru-RU" w:bidi="ru-RU"/>
      <w:sz w:val="17"/>
      <w:szCs w:val="17"/>
      <w:w w:val="100"/>
      <w:spacing w:val="2"/>
      <w:color w:val="000000"/>
      <w:position w:val="0"/>
    </w:rPr>
  </w:style>
  <w:style w:type="character" w:customStyle="1" w:styleId="CharStyle10">
    <w:name w:val="Основной текст (2) Exact"/>
    <w:basedOn w:val="CharStyle6"/>
    <w:rPr>
      <w:lang w:val="ru-RU" w:eastAsia="ru-RU" w:bidi="ru-RU"/>
      <w:u w:val="single"/>
      <w:sz w:val="17"/>
      <w:szCs w:val="17"/>
      <w:w w:val="100"/>
      <w:spacing w:val="2"/>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7"/>
      <w:szCs w:val="17"/>
      <w:rFonts w:ascii="Segoe UI" w:eastAsia="Segoe UI" w:hAnsi="Segoe UI" w:cs="Segoe UI"/>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1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0">
    <w:name w:val="Основной текст (3) Exact"/>
    <w:basedOn w:val="CharStyle13"/>
    <w:rPr>
      <w:lang w:val="ru-RU" w:eastAsia="ru-RU" w:bidi="ru-RU"/>
      <w:sz w:val="16"/>
      <w:szCs w:val="16"/>
      <w:w w:val="100"/>
      <w:spacing w:val="3"/>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5">
    <w:name w:val="Основной текст (8) Exact"/>
    <w:basedOn w:val="DefaultParagraphFont"/>
    <w:link w:val="Style24"/>
    <w:rPr>
      <w:b/>
      <w:bCs/>
      <w:i w:val="0"/>
      <w:iCs w:val="0"/>
      <w:u w:val="none"/>
      <w:strike w:val="0"/>
      <w:smallCaps w:val="0"/>
      <w:sz w:val="42"/>
      <w:szCs w:val="42"/>
    </w:rPr>
  </w:style>
  <w:style w:type="character" w:customStyle="1" w:styleId="CharStyle26">
    <w:name w:val="Основной текст (8) Exact"/>
    <w:basedOn w:val="CharStyle25"/>
    <w:rPr>
      <w:lang w:val="ru-RU" w:eastAsia="ru-RU" w:bidi="ru-RU"/>
      <w:rFonts w:ascii="Courier New" w:eastAsia="Courier New" w:hAnsi="Courier New" w:cs="Courier New"/>
      <w:w w:val="100"/>
      <w:spacing w:val="0"/>
      <w:color w:val="000000"/>
      <w:position w:val="0"/>
    </w:rPr>
  </w:style>
  <w:style w:type="character" w:customStyle="1" w:styleId="CharStyle28">
    <w:name w:val="Основной текст (6)_"/>
    <w:basedOn w:val="DefaultParagraphFont"/>
    <w:link w:val="Style27"/>
    <w:rPr>
      <w:b w:val="0"/>
      <w:bCs w:val="0"/>
      <w:i w:val="0"/>
      <w:iCs w:val="0"/>
      <w:u w:val="none"/>
      <w:strike w:val="0"/>
      <w:smallCaps w:val="0"/>
      <w:sz w:val="54"/>
      <w:szCs w:val="54"/>
      <w:rFonts w:ascii="Times New Roman" w:eastAsia="Times New Roman" w:hAnsi="Times New Roman" w:cs="Times New Roman"/>
    </w:rPr>
  </w:style>
  <w:style w:type="character" w:customStyle="1" w:styleId="CharStyle29">
    <w:name w:val="Основной текст (6)"/>
    <w:basedOn w:val="CharStyle28"/>
    <w:rPr>
      <w:lang w:val="ru-RU" w:eastAsia="ru-RU" w:bidi="ru-RU"/>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4">
    <w:name w:val="Заголовок №1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6">
    <w:name w:val="Штрих-код (2)_"/>
    <w:basedOn w:val="DefaultParagraphFont"/>
    <w:link w:val="Style3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Заголовок №2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40">
    <w:name w:val="Основной текст (9)_"/>
    <w:basedOn w:val="DefaultParagraphFont"/>
    <w:link w:val="Style39"/>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4">
    <w:name w:val="Основной текст (8)"/>
    <w:basedOn w:val="Normal"/>
    <w:link w:val="CharStyle25"/>
    <w:pPr>
      <w:widowControl w:val="0"/>
      <w:shd w:val="clear" w:color="auto" w:fill="FFFFFF"/>
      <w:spacing w:line="0" w:lineRule="exact"/>
    </w:pPr>
    <w:rPr>
      <w:b/>
      <w:bCs/>
      <w:i w:val="0"/>
      <w:iCs w:val="0"/>
      <w:u w:val="none"/>
      <w:strike w:val="0"/>
      <w:smallCaps w:val="0"/>
      <w:sz w:val="42"/>
      <w:szCs w:val="42"/>
    </w:rPr>
  </w:style>
  <w:style w:type="paragraph" w:customStyle="1" w:styleId="Style27">
    <w:name w:val="Основной текст (6)"/>
    <w:basedOn w:val="Normal"/>
    <w:link w:val="CharStyle28"/>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jc w:val="both"/>
      <w:outlineLvl w:val="0"/>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5">
    <w:name w:val="Штрих-код (2)"/>
    <w:basedOn w:val="Normal"/>
    <w:link w:val="CharStyle3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7">
    <w:name w:val="Заголовок №2"/>
    <w:basedOn w:val="Normal"/>
    <w:link w:val="CharStyle38"/>
    <w:pPr>
      <w:widowControl w:val="0"/>
      <w:shd w:val="clear" w:color="auto" w:fill="FFFFFF"/>
      <w:jc w:val="center"/>
      <w:outlineLvl w:val="1"/>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jc w:val="both"/>
      <w:spacing w:before="720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