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164" w:y="4272"/>
        <w:widowControl w:val="0"/>
        <w:keepNext w:val="0"/>
        <w:keepLines w:val="0"/>
        <w:shd w:val="clear" w:color="auto" w:fill="auto"/>
        <w:bidi w:val="0"/>
        <w:jc w:val="left"/>
        <w:spacing w:before="0" w:after="0" w:line="200" w:lineRule="exact"/>
        <w:ind w:left="100" w:right="0" w:firstLine="0"/>
      </w:pPr>
      <w:r>
        <w:rPr>
          <w:rStyle w:val="CharStyle4"/>
          <w:b/>
          <w:bCs/>
          <w:spacing w:val="0"/>
        </w:rPr>
        <w:t>от</w:t>
      </w:r>
    </w:p>
    <w:p>
      <w:pPr>
        <w:widowControl w:val="0"/>
        <w:rPr>
          <w:sz w:val="2"/>
          <w:szCs w:val="2"/>
        </w:rPr>
      </w:pPr>
    </w:p>
    <w:p>
      <w:pPr>
        <w:pStyle w:val="Style3"/>
        <w:widowControl w:val="0"/>
        <w:keepNext w:val="0"/>
        <w:keepLines w:val="0"/>
        <w:shd w:val="clear" w:color="auto" w:fill="auto"/>
        <w:bidi w:val="0"/>
        <w:spacing w:before="59" w:after="78"/>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97"/>
        <w:ind w:left="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8"/>
        <w:widowControl w:val="0"/>
        <w:keepNext w:val="0"/>
        <w:keepLines w:val="0"/>
        <w:shd w:val="clear" w:color="auto" w:fill="auto"/>
        <w:bidi w:val="0"/>
        <w:spacing w:before="0" w:after="221"/>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0"/>
        <w:numPr>
          <w:ilvl w:val="0"/>
          <w:numId w:val="1"/>
        </w:numPr>
        <w:tabs>
          <w:tab w:leader="none" w:pos="2047" w:val="left"/>
        </w:tabs>
        <w:widowControl w:val="0"/>
        <w:keepNext w:val="0"/>
        <w:keepLines w:val="0"/>
        <w:shd w:val="clear" w:color="auto" w:fill="auto"/>
        <w:bidi w:val="0"/>
        <w:spacing w:before="0" w:after="186" w:line="230" w:lineRule="exact"/>
        <w:ind w:left="780" w:right="0" w:firstLine="0"/>
      </w:pPr>
      <w:r>
        <w:rPr>
          <w:lang w:val="ru-RU" w:eastAsia="ru-RU" w:bidi="ru-RU"/>
          <w:w w:val="100"/>
          <w:spacing w:val="0"/>
          <w:color w:val="000000"/>
          <w:position w:val="0"/>
        </w:rPr>
        <w:t xml:space="preserve">№ </w:t>
      </w:r>
      <w:r>
        <w:rPr>
          <w:rStyle w:val="CharStyle13"/>
        </w:rPr>
        <w:t xml:space="preserve">&lt;5У// </w:t>
      </w:r>
      <w:r>
        <w:rPr>
          <w:lang w:val="ru-RU" w:eastAsia="ru-RU" w:bidi="ru-RU"/>
          <w:w w:val="100"/>
          <w:spacing w:val="0"/>
          <w:color w:val="000000"/>
          <w:position w:val="0"/>
        </w:rPr>
        <w:t>/03</w:t>
      </w:r>
    </w:p>
    <w:p>
      <w:pPr>
        <w:pStyle w:val="Style14"/>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На №</w:t>
      </w:r>
    </w:p>
    <w:p>
      <w:pPr>
        <w:pStyle w:val="Style10"/>
        <w:widowControl w:val="0"/>
        <w:keepNext w:val="0"/>
        <w:keepLines w:val="0"/>
        <w:shd w:val="clear" w:color="auto" w:fill="auto"/>
        <w:bidi w:val="0"/>
        <w:jc w:val="right"/>
        <w:spacing w:before="0" w:line="288" w:lineRule="exact"/>
        <w:ind w:left="280" w:right="20" w:firstLine="0"/>
      </w:pPr>
      <w:r>
        <w:rPr>
          <w:rStyle w:val="CharStyle12"/>
        </w:rPr>
        <w:t>Заявителю</w:t>
      </w:r>
      <w:r>
        <w:rPr>
          <w:lang w:val="ru-RU" w:eastAsia="ru-RU" w:bidi="ru-RU"/>
          <w:w w:val="100"/>
          <w:spacing w:val="0"/>
          <w:color w:val="000000"/>
          <w:position w:val="0"/>
        </w:rPr>
        <w:t xml:space="preserve">: ООО «Астермедика» 123060, г. Москва, ул. Маршала Рыбалко, д. 2, корп. 6, Э11, пом. I, к 28, оф. 12 </w:t>
      </w:r>
      <w:r>
        <w:rPr>
          <w:lang w:val="en-US" w:eastAsia="en-US" w:bidi="en-US"/>
          <w:w w:val="100"/>
          <w:spacing w:val="0"/>
          <w:color w:val="000000"/>
          <w:position w:val="0"/>
        </w:rPr>
        <w:t xml:space="preserve">E-mail: </w:t>
      </w:r>
      <w:r>
        <w:fldChar w:fldCharType="begin"/>
      </w:r>
      <w:r>
        <w:rPr>
          <w:rStyle w:val="CharStyle12"/>
        </w:rPr>
        <w:instrText> HYPERLINK "mailto:ii@astermedica.ru" </w:instrText>
      </w:r>
      <w:r>
        <w:fldChar w:fldCharType="separate"/>
      </w:r>
      <w:r>
        <w:rPr>
          <w:rStyle w:val="Hyperlink"/>
          <w:lang w:val="en-US" w:eastAsia="en-US" w:bidi="en-US"/>
        </w:rPr>
        <w:t>ii@astermedica.ru</w:t>
      </w:r>
      <w:r>
        <w:fldChar w:fldCharType="end"/>
      </w:r>
    </w:p>
    <w:p>
      <w:pPr>
        <w:pStyle w:val="Style10"/>
        <w:widowControl w:val="0"/>
        <w:keepNext w:val="0"/>
        <w:keepLines w:val="0"/>
        <w:shd w:val="clear" w:color="auto" w:fill="auto"/>
        <w:bidi w:val="0"/>
        <w:jc w:val="right"/>
        <w:spacing w:before="0" w:after="0" w:line="288" w:lineRule="exact"/>
        <w:ind w:left="20" w:right="20" w:firstLine="0"/>
      </w:pPr>
      <w:r>
        <w:rPr>
          <w:lang w:val="ru-RU" w:eastAsia="ru-RU" w:bidi="ru-RU"/>
          <w:w w:val="100"/>
          <w:spacing w:val="0"/>
          <w:color w:val="000000"/>
          <w:position w:val="0"/>
        </w:rPr>
        <w:t>З</w:t>
      </w:r>
      <w:r>
        <w:rPr>
          <w:rStyle w:val="CharStyle12"/>
        </w:rPr>
        <w:t>аказчику, комиссии Заказчика</w:t>
      </w:r>
      <w:r>
        <w:rPr>
          <w:lang w:val="ru-RU" w:eastAsia="ru-RU" w:bidi="ru-RU"/>
          <w:w w:val="100"/>
          <w:spacing w:val="0"/>
          <w:color w:val="000000"/>
          <w:position w:val="0"/>
        </w:rPr>
        <w:t>: БУЗ ОО «Орловская областная клиническая</w:t>
      </w:r>
    </w:p>
    <w:p>
      <w:pPr>
        <w:pStyle w:val="Style10"/>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больница»</w:t>
      </w:r>
    </w:p>
    <w:p>
      <w:pPr>
        <w:pStyle w:val="Style10"/>
        <w:widowControl w:val="0"/>
        <w:keepNext w:val="0"/>
        <w:keepLines w:val="0"/>
        <w:shd w:val="clear" w:color="auto" w:fill="auto"/>
        <w:bidi w:val="0"/>
        <w:jc w:val="right"/>
        <w:spacing w:before="0" w:after="244" w:line="274" w:lineRule="exact"/>
        <w:ind w:left="20" w:right="20" w:firstLine="0"/>
      </w:pPr>
      <w:r>
        <w:rPr>
          <w:lang w:val="ru-RU" w:eastAsia="ru-RU" w:bidi="ru-RU"/>
          <w:w w:val="100"/>
          <w:spacing w:val="0"/>
          <w:color w:val="000000"/>
          <w:position w:val="0"/>
        </w:rPr>
        <w:t xml:space="preserve">302028, г. Орёл, Бульвар Победы, 10 </w:t>
      </w:r>
      <w:r>
        <w:rPr>
          <w:lang w:val="en-US" w:eastAsia="en-US" w:bidi="en-US"/>
          <w:w w:val="100"/>
          <w:spacing w:val="0"/>
          <w:color w:val="000000"/>
          <w:position w:val="0"/>
        </w:rPr>
        <w:t xml:space="preserve">E-mail: </w:t>
      </w:r>
      <w:r>
        <w:fldChar w:fldCharType="begin"/>
      </w:r>
      <w:r>
        <w:rPr>
          <w:rStyle w:val="CharStyle12"/>
        </w:rPr>
        <w:instrText> HYPERLINK "mailto:clinic@orel.ru" </w:instrText>
      </w:r>
      <w:r>
        <w:fldChar w:fldCharType="separate"/>
      </w:r>
      <w:r>
        <w:rPr>
          <w:rStyle w:val="Hyperlink"/>
          <w:lang w:val="en-US" w:eastAsia="en-US" w:bidi="en-US"/>
        </w:rPr>
        <w:t>clinic@orel.ru</w:t>
      </w:r>
      <w:r>
        <w:fldChar w:fldCharType="end"/>
      </w:r>
    </w:p>
    <w:p>
      <w:pPr>
        <w:pStyle w:val="Style10"/>
        <w:widowControl w:val="0"/>
        <w:keepNext w:val="0"/>
        <w:keepLines w:val="0"/>
        <w:shd w:val="clear" w:color="auto" w:fill="auto"/>
        <w:bidi w:val="0"/>
        <w:jc w:val="right"/>
        <w:spacing w:before="0" w:after="0" w:line="269" w:lineRule="exact"/>
        <w:ind w:left="20" w:right="20" w:firstLine="0"/>
      </w:pPr>
      <w:r>
        <w:rPr>
          <w:rStyle w:val="CharStyle12"/>
        </w:rPr>
        <w:t>Уполномоченному органу</w:t>
      </w:r>
      <w:r>
        <w:rPr>
          <w:lang w:val="ru-RU" w:eastAsia="ru-RU" w:bidi="ru-RU"/>
          <w:w w:val="100"/>
          <w:spacing w:val="0"/>
          <w:color w:val="000000"/>
          <w:position w:val="0"/>
        </w:rPr>
        <w:t>: Департаменту экономического развития и инвестиционной деятельности Орловской</w:t>
      </w:r>
    </w:p>
    <w:p>
      <w:pPr>
        <w:pStyle w:val="Style10"/>
        <w:widowControl w:val="0"/>
        <w:keepNext w:val="0"/>
        <w:keepLines w:val="0"/>
        <w:shd w:val="clear" w:color="auto" w:fill="auto"/>
        <w:bidi w:val="0"/>
        <w:jc w:val="right"/>
        <w:spacing w:before="0" w:after="0" w:line="278" w:lineRule="exact"/>
        <w:ind w:left="0" w:right="20" w:firstLine="0"/>
      </w:pPr>
      <w:r>
        <w:rPr>
          <w:lang w:val="ru-RU" w:eastAsia="ru-RU" w:bidi="ru-RU"/>
          <w:w w:val="100"/>
          <w:spacing w:val="0"/>
          <w:color w:val="000000"/>
          <w:position w:val="0"/>
        </w:rPr>
        <w:t>области</w:t>
      </w:r>
    </w:p>
    <w:p>
      <w:pPr>
        <w:pStyle w:val="Style10"/>
        <w:widowControl w:val="0"/>
        <w:keepNext w:val="0"/>
        <w:keepLines w:val="0"/>
        <w:shd w:val="clear" w:color="auto" w:fill="auto"/>
        <w:bidi w:val="0"/>
        <w:jc w:val="right"/>
        <w:spacing w:before="0" w:after="252" w:line="278" w:lineRule="exact"/>
        <w:ind w:left="20" w:right="20" w:firstLine="0"/>
      </w:pPr>
      <w:r>
        <w:rPr>
          <w:lang w:val="ru-RU" w:eastAsia="ru-RU" w:bidi="ru-RU"/>
          <w:w w:val="100"/>
          <w:spacing w:val="0"/>
          <w:color w:val="000000"/>
          <w:position w:val="0"/>
        </w:rPr>
        <w:t xml:space="preserve">302021, г. Орел, пл. Ленина, 1 </w:t>
      </w:r>
      <w:r>
        <w:rPr>
          <w:lang w:val="en-US" w:eastAsia="en-US" w:bidi="en-US"/>
          <w:w w:val="100"/>
          <w:spacing w:val="0"/>
          <w:color w:val="000000"/>
          <w:position w:val="0"/>
        </w:rPr>
        <w:t xml:space="preserve">e-mail: </w:t>
      </w:r>
      <w:r>
        <w:fldChar w:fldCharType="begin"/>
      </w:r>
      <w:r>
        <w:rPr>
          <w:rStyle w:val="CharStyle12"/>
        </w:rPr>
        <w:instrText> HYPERLINK "mailto:mirage@adm.orel.ru" </w:instrText>
      </w:r>
      <w:r>
        <w:fldChar w:fldCharType="separate"/>
      </w:r>
      <w:r>
        <w:rPr>
          <w:rStyle w:val="Hyperlink"/>
          <w:lang w:val="en-US" w:eastAsia="en-US" w:bidi="en-US"/>
        </w:rPr>
        <w:t>mirage@adm.orel.ru</w:t>
      </w:r>
      <w:r>
        <w:fldChar w:fldCharType="end"/>
      </w:r>
    </w:p>
    <w:p>
      <w:pPr>
        <w:pStyle w:val="Style10"/>
        <w:widowControl w:val="0"/>
        <w:keepNext w:val="0"/>
        <w:keepLines w:val="0"/>
        <w:shd w:val="clear" w:color="auto" w:fill="auto"/>
        <w:bidi w:val="0"/>
        <w:jc w:val="right"/>
        <w:spacing w:before="0" w:after="283" w:line="264" w:lineRule="exact"/>
        <w:ind w:left="20" w:right="20" w:firstLine="0"/>
      </w:pPr>
      <w:r>
        <w:rPr>
          <w:rStyle w:val="CharStyle12"/>
        </w:rPr>
        <w:t>Оператору ЭТП</w:t>
      </w:r>
      <w:r>
        <w:rPr>
          <w:lang w:val="ru-RU" w:eastAsia="ru-RU" w:bidi="ru-RU"/>
          <w:w w:val="100"/>
          <w:spacing w:val="0"/>
          <w:color w:val="000000"/>
          <w:position w:val="0"/>
        </w:rPr>
        <w:t xml:space="preserve">: ООО «РТС-тендер » </w:t>
      </w:r>
      <w:r>
        <w:rPr>
          <w:lang w:val="en-US" w:eastAsia="en-US" w:bidi="en-US"/>
          <w:w w:val="100"/>
          <w:spacing w:val="0"/>
          <w:color w:val="000000"/>
          <w:position w:val="0"/>
        </w:rPr>
        <w:t xml:space="preserve">e-mail: </w:t>
      </w:r>
      <w:r>
        <w:fldChar w:fldCharType="begin"/>
      </w:r>
      <w:r>
        <w:rPr>
          <w:rStyle w:val="CharStyle12"/>
        </w:rPr>
        <w:instrText> HYPERLINK "mailto:ko@rts-tender.ru" </w:instrText>
      </w:r>
      <w:r>
        <w:fldChar w:fldCharType="separate"/>
      </w:r>
      <w:r>
        <w:rPr>
          <w:rStyle w:val="Hyperlink"/>
          <w:lang w:val="en-US" w:eastAsia="en-US" w:bidi="en-US"/>
        </w:rPr>
        <w:t>ko@rts-tender.ru</w:t>
      </w:r>
      <w:r>
        <w:fldChar w:fldCharType="end"/>
      </w:r>
    </w:p>
    <w:p>
      <w:pPr>
        <w:pStyle w:val="Style3"/>
        <w:widowControl w:val="0"/>
        <w:keepNext w:val="0"/>
        <w:keepLines w:val="0"/>
        <w:shd w:val="clear" w:color="auto" w:fill="auto"/>
        <w:bidi w:val="0"/>
        <w:jc w:val="right"/>
        <w:spacing w:before="0" w:after="0" w:line="210" w:lineRule="exact"/>
        <w:ind w:left="0" w:right="20" w:firstLine="0"/>
        <w:sectPr>
          <w:footnotePr>
            <w:pos w:val="pageBottom"/>
            <w:numFmt w:val="decimal"/>
            <w:numRestart w:val="continuous"/>
          </w:footnotePr>
          <w:type w:val="continuous"/>
          <w:pgSz w:w="11906" w:h="16838"/>
          <w:pgMar w:top="463" w:left="947" w:right="841" w:bottom="477" w:header="0" w:footer="3" w:gutter="0"/>
          <w:rtlGutter w:val="0"/>
          <w:cols w:num="2" w:space="804"/>
          <w:noEndnote/>
          <w:docGrid w:linePitch="360"/>
        </w:sectPr>
      </w:pPr>
      <w:r>
        <w:rPr>
          <w:lang w:val="ru-RU" w:eastAsia="ru-RU" w:bidi="ru-RU"/>
          <w:w w:val="100"/>
          <w:spacing w:val="0"/>
          <w:color w:val="000000"/>
          <w:position w:val="0"/>
        </w:rPr>
        <w:t>(Извещение № 0154200000721000948)</w:t>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spacing w:before="0" w:after="11" w:line="260" w:lineRule="exact"/>
        <w:ind w:left="0" w:right="0" w:firstLine="0"/>
      </w:pPr>
      <w:r>
        <w:rPr>
          <w:lang w:val="ru-RU" w:eastAsia="ru-RU" w:bidi="ru-RU"/>
          <w:w w:val="100"/>
          <w:color w:val="000000"/>
          <w:position w:val="0"/>
        </w:rPr>
        <w:t>РЕШЕНИЕ</w:t>
      </w:r>
    </w:p>
    <w:p>
      <w:pPr>
        <w:pStyle w:val="Style10"/>
        <w:widowControl w:val="0"/>
        <w:keepNext w:val="0"/>
        <w:keepLines w:val="0"/>
        <w:shd w:val="clear" w:color="auto" w:fill="auto"/>
        <w:bidi w:val="0"/>
        <w:jc w:val="center"/>
        <w:spacing w:before="0" w:after="0" w:line="230" w:lineRule="exact"/>
        <w:ind w:left="0" w:right="0" w:firstLine="0"/>
        <w:sectPr>
          <w:type w:val="continuous"/>
          <w:pgSz w:w="11906" w:h="16838"/>
          <w:pgMar w:top="478" w:left="2238" w:right="1182" w:bottom="492" w:header="0" w:footer="3" w:gutter="0"/>
          <w:rtlGutter w:val="0"/>
          <w:cols w:space="720"/>
          <w:noEndnote/>
          <w:docGrid w:linePitch="360"/>
        </w:sectPr>
      </w:pPr>
      <w:r>
        <w:rPr>
          <w:lang w:val="ru-RU" w:eastAsia="ru-RU" w:bidi="ru-RU"/>
          <w:w w:val="100"/>
          <w:spacing w:val="0"/>
          <w:color w:val="000000"/>
          <w:position w:val="0"/>
        </w:rPr>
        <w:t>по делу № 057/06/64-851/2021 о нарушении законодательства о закупках</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40" w:vSpace="341" w:wrap="around" w:vAnchor="text" w:hAnchor="margin" w:x="8731" w:y="1"/>
        <w:widowControl w:val="0"/>
        <w:keepNext w:val="0"/>
        <w:keepLines w:val="0"/>
        <w:shd w:val="clear" w:color="auto" w:fill="auto"/>
        <w:bidi w:val="0"/>
        <w:jc w:val="left"/>
        <w:spacing w:before="0" w:after="0" w:line="210" w:lineRule="exact"/>
        <w:ind w:left="100" w:right="0" w:firstLine="0"/>
      </w:pPr>
      <w:r>
        <w:rPr>
          <w:rStyle w:val="CharStyle18"/>
          <w:spacing w:val="0"/>
        </w:rPr>
        <w:t>г. Орёл</w:t>
      </w:r>
    </w:p>
    <w:p>
      <w:pPr>
        <w:pStyle w:val="Style10"/>
        <w:widowControl w:val="0"/>
        <w:keepNext w:val="0"/>
        <w:keepLines w:val="0"/>
        <w:shd w:val="clear" w:color="auto" w:fill="auto"/>
        <w:bidi w:val="0"/>
        <w:jc w:val="left"/>
        <w:spacing w:before="0" w:after="269" w:line="230" w:lineRule="exact"/>
        <w:ind w:left="20" w:right="0" w:firstLine="0"/>
      </w:pPr>
      <w:r>
        <w:rPr>
          <w:lang w:val="ru-RU" w:eastAsia="ru-RU" w:bidi="ru-RU"/>
          <w:w w:val="100"/>
          <w:spacing w:val="0"/>
          <w:color w:val="000000"/>
          <w:position w:val="0"/>
        </w:rPr>
        <w:t>11 ноября 2021 года</w:t>
      </w:r>
    </w:p>
    <w:p>
      <w:pPr>
        <w:pStyle w:val="Style10"/>
        <w:widowControl w:val="0"/>
        <w:keepNext w:val="0"/>
        <w:keepLines w:val="0"/>
        <w:shd w:val="clear" w:color="auto" w:fill="auto"/>
        <w:bidi w:val="0"/>
        <w:spacing w:before="0" w:after="0" w:line="278" w:lineRule="exact"/>
        <w:ind w:left="20" w:right="20" w:firstLine="56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 А., главного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10"/>
        <w:widowControl w:val="0"/>
        <w:keepNext w:val="0"/>
        <w:keepLines w:val="0"/>
        <w:shd w:val="clear" w:color="auto" w:fill="auto"/>
        <w:bidi w:val="0"/>
        <w:spacing w:before="0" w:after="0" w:line="278" w:lineRule="exact"/>
        <w:ind w:left="20" w:right="20" w:firstLine="560"/>
      </w:pPr>
      <w:r>
        <w:rPr>
          <w:lang w:val="ru-RU" w:eastAsia="ru-RU" w:bidi="ru-RU"/>
          <w:w w:val="100"/>
          <w:spacing w:val="0"/>
          <w:color w:val="000000"/>
          <w:position w:val="0"/>
        </w:rPr>
        <w:t>в присутствии представителя заявителя: ООО «Астермедика» (далее - Заявитель) Павлова Ф.Б.,</w:t>
      </w:r>
    </w:p>
    <w:p>
      <w:pPr>
        <w:pStyle w:val="Style10"/>
        <w:widowControl w:val="0"/>
        <w:keepNext w:val="0"/>
        <w:keepLines w:val="0"/>
        <w:shd w:val="clear" w:color="auto" w:fill="auto"/>
        <w:bidi w:val="0"/>
        <w:spacing w:before="0" w:after="0" w:line="278" w:lineRule="exact"/>
        <w:ind w:left="20" w:right="20" w:firstLine="560"/>
      </w:pPr>
      <w:r>
        <w:rPr>
          <w:lang w:val="ru-RU" w:eastAsia="ru-RU" w:bidi="ru-RU"/>
          <w:w w:val="100"/>
          <w:spacing w:val="0"/>
          <w:color w:val="000000"/>
          <w:position w:val="0"/>
        </w:rPr>
        <w:t>в присутствии представителя заказчика: БУЗ Орловской области «Орловская областная клиническая больница» (далее - Заказчик) Стрельниковой О.В.,</w:t>
      </w:r>
    </w:p>
    <w:p>
      <w:pPr>
        <w:pStyle w:val="Style10"/>
        <w:widowControl w:val="0"/>
        <w:keepNext w:val="0"/>
        <w:keepLines w:val="0"/>
        <w:shd w:val="clear" w:color="auto" w:fill="auto"/>
        <w:bidi w:val="0"/>
        <w:spacing w:before="0" w:after="0" w:line="278" w:lineRule="exact"/>
        <w:ind w:left="20" w:right="20" w:firstLine="560"/>
      </w:pPr>
      <w:r>
        <w:rPr>
          <w:lang w:val="ru-RU" w:eastAsia="ru-RU" w:bidi="ru-RU"/>
          <w:w w:val="100"/>
          <w:spacing w:val="0"/>
          <w:color w:val="000000"/>
          <w:position w:val="0"/>
        </w:rPr>
        <w:t>рассмотрев жалобу ООО «Астермедика» на действия аукционной комиссии Заказчика по необоснованному отклонению его заявки на участие в электронном аукционе на закупку катетеров двухпросветных для проведения процедур гемодиализа, извещение № 0154200000721000948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w:t>
        <w:br w:type="page"/>
        <w:t xml:space="preserve">государственных и муниципальных нужд, утвержденного Приказом ФАС России от </w:t>
      </w:r>
      <w:r>
        <w:rPr>
          <w:rStyle w:val="CharStyle19"/>
        </w:rPr>
        <w:t>19.11.2014 № 727/14 (далее - Административный регламент),</w:t>
      </w:r>
    </w:p>
    <w:p>
      <w:pPr>
        <w:pStyle w:val="Style10"/>
        <w:widowControl w:val="0"/>
        <w:keepNext w:val="0"/>
        <w:keepLines w:val="0"/>
        <w:shd w:val="clear" w:color="auto" w:fill="auto"/>
        <w:bidi w:val="0"/>
        <w:jc w:val="left"/>
        <w:spacing w:before="0" w:after="0" w:line="302" w:lineRule="exact"/>
        <w:ind w:left="4300" w:right="0" w:firstLine="0"/>
      </w:pPr>
      <w:r>
        <w:rPr>
          <w:rStyle w:val="CharStyle20"/>
        </w:rPr>
        <w:t>УСТАНОВИЛА:</w:t>
      </w:r>
    </w:p>
    <w:p>
      <w:pPr>
        <w:pStyle w:val="Style10"/>
        <w:widowControl w:val="0"/>
        <w:keepNext w:val="0"/>
        <w:keepLines w:val="0"/>
        <w:shd w:val="clear" w:color="auto" w:fill="auto"/>
        <w:bidi w:val="0"/>
        <w:spacing w:before="0" w:after="0" w:line="283" w:lineRule="exact"/>
        <w:ind w:left="60" w:right="100" w:firstLine="580"/>
      </w:pPr>
      <w:r>
        <w:rPr>
          <w:lang w:val="ru-RU" w:eastAsia="ru-RU" w:bidi="ru-RU"/>
          <w:w w:val="100"/>
          <w:spacing w:val="0"/>
          <w:color w:val="000000"/>
          <w:position w:val="0"/>
        </w:rPr>
        <w:t>В жалобе Заявитель указал, что Комиссия Заказчика необоснованно отклонила его заявку.</w:t>
      </w:r>
    </w:p>
    <w:p>
      <w:pPr>
        <w:pStyle w:val="Style10"/>
        <w:widowControl w:val="0"/>
        <w:keepNext w:val="0"/>
        <w:keepLines w:val="0"/>
        <w:shd w:val="clear" w:color="auto" w:fill="auto"/>
        <w:bidi w:val="0"/>
        <w:spacing w:before="0" w:after="0" w:line="302" w:lineRule="exact"/>
        <w:ind w:left="60" w:right="0" w:firstLine="580"/>
      </w:pPr>
      <w:r>
        <w:rPr>
          <w:lang w:val="ru-RU" w:eastAsia="ru-RU" w:bidi="ru-RU"/>
          <w:w w:val="100"/>
          <w:spacing w:val="0"/>
          <w:color w:val="000000"/>
          <w:position w:val="0"/>
        </w:rPr>
        <w:t>В пункте 8.3 Протокол рассмотрения заявок на участие в электронном аукционе от</w:t>
      </w:r>
    </w:p>
    <w:p>
      <w:pPr>
        <w:pStyle w:val="Style10"/>
        <w:numPr>
          <w:ilvl w:val="0"/>
          <w:numId w:val="3"/>
        </w:numPr>
        <w:tabs>
          <w:tab w:leader="none" w:pos="1340" w:val="left"/>
        </w:tabs>
        <w:widowControl w:val="0"/>
        <w:keepNext w:val="0"/>
        <w:keepLines w:val="0"/>
        <w:shd w:val="clear" w:color="auto" w:fill="auto"/>
        <w:bidi w:val="0"/>
        <w:spacing w:before="0" w:after="0" w:line="302" w:lineRule="exact"/>
        <w:ind w:left="60" w:right="100" w:firstLine="0"/>
      </w:pPr>
      <w:r>
        <w:rPr>
          <w:lang w:val="ru-RU" w:eastAsia="ru-RU" w:bidi="ru-RU"/>
          <w:w w:val="100"/>
          <w:spacing w:val="0"/>
          <w:color w:val="000000"/>
          <w:position w:val="0"/>
        </w:rPr>
        <w:t xml:space="preserve">№0154200000721000948-1 указано: «Участнику закупки, подавшему заявку на участие в аукционе с идентификационным номером </w:t>
      </w:r>
      <w:r>
        <w:rPr>
          <w:rStyle w:val="CharStyle21"/>
        </w:rPr>
        <w:t xml:space="preserve">110719514 отказать в допуске </w:t>
      </w:r>
      <w:r>
        <w:rPr>
          <w:lang w:val="ru-RU" w:eastAsia="ru-RU" w:bidi="ru-RU"/>
          <w:w w:val="100"/>
          <w:spacing w:val="0"/>
          <w:color w:val="000000"/>
          <w:position w:val="0"/>
        </w:rPr>
        <w:t>к участию в аукционе.</w:t>
      </w:r>
    </w:p>
    <w:p>
      <w:pPr>
        <w:pStyle w:val="Style22"/>
        <w:widowControl w:val="0"/>
        <w:keepNext w:val="0"/>
        <w:keepLines w:val="0"/>
        <w:shd w:val="clear" w:color="auto" w:fill="auto"/>
        <w:bidi w:val="0"/>
        <w:spacing w:before="0" w:after="0"/>
        <w:ind w:left="60" w:right="0"/>
      </w:pPr>
      <w:r>
        <w:rPr>
          <w:lang w:val="ru-RU" w:eastAsia="ru-RU" w:bidi="ru-RU"/>
          <w:w w:val="100"/>
          <w:spacing w:val="0"/>
          <w:color w:val="000000"/>
          <w:position w:val="0"/>
        </w:rPr>
        <w:t>Обоснование принятого решения:</w:t>
      </w:r>
    </w:p>
    <w:p>
      <w:pPr>
        <w:pStyle w:val="Style10"/>
        <w:tabs>
          <w:tab w:leader="underscore" w:pos="10313" w:val="left"/>
        </w:tabs>
        <w:widowControl w:val="0"/>
        <w:keepNext w:val="0"/>
        <w:keepLines w:val="0"/>
        <w:shd w:val="clear" w:color="auto" w:fill="auto"/>
        <w:bidi w:val="0"/>
        <w:spacing w:before="0" w:after="0" w:line="293" w:lineRule="exact"/>
        <w:ind w:left="60" w:right="100" w:firstLine="580"/>
      </w:pPr>
      <w:r>
        <w:rPr>
          <w:lang w:val="ru-RU" w:eastAsia="ru-RU" w:bidi="ru-RU"/>
          <w:w w:val="100"/>
          <w:spacing w:val="0"/>
          <w:color w:val="000000"/>
          <w:position w:val="0"/>
        </w:rPr>
        <w:t xml:space="preserve">Заявка на участие в аукционе не соответствует предъявляемым требованиям на основании пункта 2 части 4 статьи 67 Федерального закона №44-ФЗ. Информация, предоставленная участником закупки с </w:t>
      </w:r>
      <w:r>
        <w:rPr>
          <w:rStyle w:val="CharStyle21"/>
        </w:rPr>
        <w:t xml:space="preserve">идентификационным номером 110719514, </w:t>
      </w:r>
      <w:r>
        <w:rPr>
          <w:lang w:val="ru-RU" w:eastAsia="ru-RU" w:bidi="ru-RU"/>
          <w:w w:val="100"/>
          <w:spacing w:val="0"/>
          <w:color w:val="000000"/>
          <w:position w:val="0"/>
        </w:rPr>
        <w:t xml:space="preserve">не соответствует требованиям, предусмотренным пунктом 2-6 части 3 статьи 66 Федерального закона №44-ФЗ, пунктом 5.1.3 раздела II «Информационная карта аукциона» Документации об электронном аукционе, а именно: конкретные значения показателей «Внешний диаметр» (позиции №1, №2), «Длина» (позиции №1, №2) не соответствуют требованиям Технического задания документации об электронном </w:t>
      </w:r>
      <w:r>
        <w:rPr>
          <w:rStyle w:val="CharStyle12"/>
        </w:rPr>
        <w:t>аукционе (отсутствуют единицы измерения значений показателей).</w:t>
      </w:r>
      <w:r>
        <w:rPr>
          <w:lang w:val="ru-RU" w:eastAsia="ru-RU" w:bidi="ru-RU"/>
          <w:w w:val="100"/>
          <w:spacing w:val="0"/>
          <w:color w:val="000000"/>
          <w:position w:val="0"/>
        </w:rPr>
        <w:tab/>
      </w:r>
    </w:p>
    <w:tbl>
      <w:tblPr>
        <w:tblOverlap w:val="never"/>
        <w:tblLayout w:type="fixed"/>
        <w:jc w:val="center"/>
      </w:tblPr>
      <w:tblGrid>
        <w:gridCol w:w="542"/>
        <w:gridCol w:w="2131"/>
        <w:gridCol w:w="1997"/>
        <w:gridCol w:w="2131"/>
        <w:gridCol w:w="3566"/>
      </w:tblGrid>
      <w:tr>
        <w:trPr>
          <w:trHeight w:val="1944" w:hRule="exact"/>
        </w:trPr>
        <w:tc>
          <w:tcPr>
            <w:shd w:val="clear" w:color="auto" w:fill="FFFFFF"/>
            <w:gridSpan w:val="4"/>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4"/>
              </w:rPr>
              <w:t>Требования Раздела 111. Техническое задание документации об электронном аукционе</w:t>
            </w:r>
          </w:p>
        </w:tc>
        <w:tc>
          <w:tcPr>
            <w:shd w:val="clear" w:color="auto" w:fill="FFFFFF"/>
            <w:tcBorders>
              <w:left w:val="single" w:sz="4"/>
              <w:right w:val="single" w:sz="4"/>
              <w:top w:val="single" w:sz="4"/>
            </w:tcBorders>
            <w:vAlign w:val="bottom"/>
          </w:tcPr>
          <w:p>
            <w:pPr>
              <w:pStyle w:val="Style10"/>
              <w:framePr w:w="1036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4"/>
              </w:rPr>
              <w:t xml:space="preserve">Положения заявки участника закупки </w:t>
            </w:r>
            <w:r>
              <w:rPr>
                <w:rStyle w:val="CharStyle25"/>
              </w:rPr>
              <w:t xml:space="preserve">с </w:t>
            </w:r>
            <w:r>
              <w:rPr>
                <w:rStyle w:val="CharStyle24"/>
              </w:rPr>
              <w:t>идентификационным номером 110719514, которые не соответствуют требованиям документации об аукционе</w:t>
            </w:r>
          </w:p>
        </w:tc>
      </w:tr>
      <w:tr>
        <w:trPr>
          <w:trHeight w:val="1656" w:hRule="exact"/>
        </w:trPr>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60" w:line="220" w:lineRule="exact"/>
              <w:ind w:left="180" w:right="0" w:firstLine="0"/>
            </w:pPr>
            <w:r>
              <w:rPr>
                <w:rStyle w:val="CharStyle24"/>
              </w:rPr>
              <w:t>№</w:t>
            </w:r>
          </w:p>
          <w:p>
            <w:pPr>
              <w:pStyle w:val="Style10"/>
              <w:framePr w:w="10368" w:wrap="notBeside" w:vAnchor="text" w:hAnchor="text" w:xAlign="center" w:y="1"/>
              <w:widowControl w:val="0"/>
              <w:keepNext w:val="0"/>
              <w:keepLines w:val="0"/>
              <w:shd w:val="clear" w:color="auto" w:fill="auto"/>
              <w:bidi w:val="0"/>
              <w:jc w:val="left"/>
              <w:spacing w:before="60" w:after="0" w:line="190" w:lineRule="exact"/>
              <w:ind w:left="180" w:right="0" w:firstLine="0"/>
            </w:pPr>
            <w:r>
              <w:rPr>
                <w:rStyle w:val="CharStyle25"/>
              </w:rPr>
              <w:t>п/п</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Наименование</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Наименование</w:t>
            </w:r>
          </w:p>
          <w:p>
            <w:pPr>
              <w:pStyle w:val="Style10"/>
              <w:framePr w:w="10368"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показателя</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60" w:line="220" w:lineRule="exact"/>
              <w:ind w:left="0" w:right="0" w:firstLine="0"/>
            </w:pPr>
            <w:r>
              <w:rPr>
                <w:rStyle w:val="CharStyle24"/>
              </w:rPr>
              <w:t>Значение</w:t>
            </w:r>
          </w:p>
          <w:p>
            <w:pPr>
              <w:pStyle w:val="Style10"/>
              <w:framePr w:w="10368" w:wrap="notBeside" w:vAnchor="text" w:hAnchor="text" w:xAlign="center" w:y="1"/>
              <w:widowControl w:val="0"/>
              <w:keepNext w:val="0"/>
              <w:keepLines w:val="0"/>
              <w:shd w:val="clear" w:color="auto" w:fill="auto"/>
              <w:bidi w:val="0"/>
              <w:jc w:val="center"/>
              <w:spacing w:before="60" w:after="0" w:line="220" w:lineRule="exact"/>
              <w:ind w:left="0" w:right="0" w:firstLine="0"/>
            </w:pPr>
            <w:r>
              <w:rPr>
                <w:rStyle w:val="CharStyle24"/>
              </w:rPr>
              <w:t>показателей</w:t>
            </w:r>
          </w:p>
        </w:tc>
        <w:tc>
          <w:tcPr>
            <w:shd w:val="clear" w:color="auto" w:fill="FFFFFF"/>
            <w:tcBorders>
              <w:left w:val="single" w:sz="4"/>
              <w:right w:val="single" w:sz="4"/>
              <w:top w:val="single" w:sz="4"/>
            </w:tcBorders>
            <w:vAlign w:val="bottom"/>
          </w:tcPr>
          <w:p>
            <w:pPr>
              <w:pStyle w:val="Style10"/>
              <w:framePr w:w="1036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4"/>
              </w:rPr>
              <w:t>Конкретные показатели товара, соответствующие значениям, установленным в настоящей документации об электронном аукционе</w:t>
            </w:r>
          </w:p>
        </w:tc>
      </w:tr>
      <w:tr>
        <w:trPr>
          <w:trHeight w:val="768" w:hRule="exact"/>
        </w:trPr>
        <w:tc>
          <w:tcPr>
            <w:shd w:val="clear" w:color="auto" w:fill="FFFFFF"/>
            <w:vMerge w:val="restart"/>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26"/>
              </w:rPr>
              <w:t>1</w:t>
            </w:r>
          </w:p>
        </w:tc>
        <w:tc>
          <w:tcPr>
            <w:shd w:val="clear" w:color="auto" w:fill="FFFFFF"/>
            <w:vMerge w:val="restart"/>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5"/>
              </w:rPr>
              <w:t>Катетер для</w:t>
            </w:r>
          </w:p>
          <w:p>
            <w:pPr>
              <w:pStyle w:val="Style10"/>
              <w:framePr w:w="10368"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5"/>
              </w:rPr>
              <w:t>гемодиализа.</w:t>
            </w:r>
          </w:p>
          <w:p>
            <w:pPr>
              <w:pStyle w:val="Style10"/>
              <w:framePr w:w="10368"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5"/>
              </w:rPr>
              <w:t>имплантируемый</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Внешний диаметр</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6"/>
              </w:rPr>
              <w:t xml:space="preserve">Не менее 14 </w:t>
            </w:r>
            <w:r>
              <w:rPr>
                <w:rStyle w:val="CharStyle26"/>
                <w:lang w:val="en-US" w:eastAsia="en-US" w:bidi="en-US"/>
              </w:rPr>
              <w:t xml:space="preserve">Fr </w:t>
            </w:r>
            <w:r>
              <w:rPr>
                <w:rStyle w:val="CharStyle26"/>
              </w:rPr>
              <w:t xml:space="preserve">не более 15 </w:t>
            </w:r>
            <w:r>
              <w:rPr>
                <w:rStyle w:val="CharStyle26"/>
                <w:lang w:val="en-US" w:eastAsia="en-US" w:bidi="en-US"/>
              </w:rPr>
              <w:t>Fr</w:t>
            </w:r>
          </w:p>
        </w:tc>
        <w:tc>
          <w:tcPr>
            <w:shd w:val="clear" w:color="auto" w:fill="FFFFFF"/>
            <w:tcBorders>
              <w:left w:val="single" w:sz="4"/>
              <w:righ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14,5</w:t>
            </w:r>
          </w:p>
        </w:tc>
      </w:tr>
      <w:tr>
        <w:trPr>
          <w:trHeight w:val="662" w:hRule="exact"/>
        </w:trPr>
        <w:tc>
          <w:tcPr>
            <w:shd w:val="clear" w:color="auto" w:fill="FFFFFF"/>
            <w:vMerge/>
            <w:tcBorders>
              <w:left w:val="single" w:sz="4"/>
            </w:tcBorders>
            <w:vAlign w:val="center"/>
          </w:tcPr>
          <w:p>
            <w:pPr>
              <w:framePr w:w="10368" w:wrap="notBeside" w:vAnchor="text" w:hAnchor="text" w:xAlign="center" w:y="1"/>
            </w:pPr>
          </w:p>
        </w:tc>
        <w:tc>
          <w:tcPr>
            <w:shd w:val="clear" w:color="auto" w:fill="FFFFFF"/>
            <w:vMerge/>
            <w:tcBorders>
              <w:left w:val="single" w:sz="4"/>
            </w:tcBorders>
            <w:vAlign w:val="center"/>
          </w:tcPr>
          <w:p>
            <w:pPr>
              <w:framePr w:w="10368" w:wrap="notBeside" w:vAnchor="text" w:hAnchor="text" w:xAlign="center" w:y="1"/>
            </w:pP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5"/>
              </w:rPr>
              <w:t>Длина</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6"/>
              </w:rPr>
              <w:t>Не менее 20 см не более 30 см</w:t>
            </w:r>
          </w:p>
        </w:tc>
        <w:tc>
          <w:tcPr>
            <w:shd w:val="clear" w:color="auto" w:fill="FFFFFF"/>
            <w:tcBorders>
              <w:left w:val="single" w:sz="4"/>
              <w:righ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27</w:t>
            </w:r>
          </w:p>
        </w:tc>
      </w:tr>
      <w:tr>
        <w:trPr>
          <w:trHeight w:val="576" w:hRule="exact"/>
        </w:trPr>
        <w:tc>
          <w:tcPr>
            <w:shd w:val="clear" w:color="auto" w:fill="FFFFFF"/>
            <w:vMerge w:val="restart"/>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0" w:line="190" w:lineRule="exact"/>
              <w:ind w:left="260" w:right="0" w:firstLine="0"/>
            </w:pPr>
            <w:r>
              <w:rPr>
                <w:rStyle w:val="CharStyle25"/>
              </w:rPr>
              <w:t>2</w:t>
            </w:r>
          </w:p>
        </w:tc>
        <w:tc>
          <w:tcPr>
            <w:shd w:val="clear" w:color="auto" w:fill="FFFFFF"/>
            <w:vMerge w:val="restart"/>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25"/>
              </w:rPr>
              <w:t>Катетер для</w:t>
            </w:r>
          </w:p>
          <w:p>
            <w:pPr>
              <w:pStyle w:val="Style10"/>
              <w:framePr w:w="10368"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25"/>
              </w:rPr>
              <w:t>гемодиализа,</w:t>
            </w:r>
          </w:p>
          <w:p>
            <w:pPr>
              <w:pStyle w:val="Style10"/>
              <w:framePr w:w="10368"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25"/>
              </w:rPr>
              <w:t>неимплантируемый</w:t>
            </w:r>
          </w:p>
        </w:tc>
        <w:tc>
          <w:tcPr>
            <w:shd w:val="clear" w:color="auto" w:fill="FFFFFF"/>
            <w:tcBorders>
              <w:lef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Внешний диаметр</w:t>
            </w:r>
          </w:p>
        </w:tc>
        <w:tc>
          <w:tcPr>
            <w:shd w:val="clear" w:color="auto" w:fill="FFFFFF"/>
            <w:tcBorders>
              <w:left w:val="single" w:sz="4"/>
              <w:top w:val="single" w:sz="4"/>
            </w:tcBorders>
            <w:vAlign w:val="bottom"/>
          </w:tcPr>
          <w:p>
            <w:pPr>
              <w:pStyle w:val="Style10"/>
              <w:framePr w:w="1036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 xml:space="preserve">Не менее 12 </w:t>
            </w:r>
            <w:r>
              <w:rPr>
                <w:rStyle w:val="CharStyle26"/>
                <w:lang w:val="en-US" w:eastAsia="en-US" w:bidi="en-US"/>
              </w:rPr>
              <w:t xml:space="preserve">Fr </w:t>
            </w:r>
            <w:r>
              <w:rPr>
                <w:rStyle w:val="CharStyle26"/>
              </w:rPr>
              <w:t xml:space="preserve">не более 14 </w:t>
            </w:r>
            <w:r>
              <w:rPr>
                <w:rStyle w:val="CharStyle26"/>
                <w:lang w:val="en-US" w:eastAsia="en-US" w:bidi="en-US"/>
              </w:rPr>
              <w:t>Fr</w:t>
            </w:r>
          </w:p>
        </w:tc>
        <w:tc>
          <w:tcPr>
            <w:shd w:val="clear" w:color="auto" w:fill="FFFFFF"/>
            <w:tcBorders>
              <w:left w:val="single" w:sz="4"/>
              <w:right w:val="single" w:sz="4"/>
              <w:top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13</w:t>
            </w:r>
          </w:p>
        </w:tc>
      </w:tr>
      <w:tr>
        <w:trPr>
          <w:trHeight w:val="595" w:hRule="exact"/>
        </w:trPr>
        <w:tc>
          <w:tcPr>
            <w:shd w:val="clear" w:color="auto" w:fill="FFFFFF"/>
            <w:vMerge/>
            <w:tcBorders>
              <w:left w:val="single" w:sz="4"/>
              <w:bottom w:val="single" w:sz="4"/>
            </w:tcBorders>
            <w:vAlign w:val="center"/>
          </w:tcPr>
          <w:p>
            <w:pPr>
              <w:framePr w:w="10368" w:wrap="notBeside" w:vAnchor="text" w:hAnchor="text" w:xAlign="center" w:y="1"/>
            </w:pPr>
          </w:p>
        </w:tc>
        <w:tc>
          <w:tcPr>
            <w:shd w:val="clear" w:color="auto" w:fill="FFFFFF"/>
            <w:vMerge/>
            <w:tcBorders>
              <w:left w:val="single" w:sz="4"/>
              <w:bottom w:val="single" w:sz="4"/>
            </w:tcBorders>
            <w:vAlign w:val="center"/>
          </w:tcPr>
          <w:p>
            <w:pPr>
              <w:framePr w:w="10368" w:wrap="notBeside" w:vAnchor="text" w:hAnchor="text" w:xAlign="center" w:y="1"/>
            </w:pPr>
          </w:p>
        </w:tc>
        <w:tc>
          <w:tcPr>
            <w:shd w:val="clear" w:color="auto" w:fill="FFFFFF"/>
            <w:tcBorders>
              <w:left w:val="single" w:sz="4"/>
              <w:top w:val="single" w:sz="4"/>
              <w:bottom w:val="single" w:sz="4"/>
            </w:tcBorders>
            <w:vAlign w:val="center"/>
          </w:tcPr>
          <w:p>
            <w:pPr>
              <w:pStyle w:val="Style10"/>
              <w:framePr w:w="10368"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5"/>
              </w:rPr>
              <w:t>Длина</w:t>
            </w:r>
          </w:p>
        </w:tc>
        <w:tc>
          <w:tcPr>
            <w:shd w:val="clear" w:color="auto" w:fill="FFFFFF"/>
            <w:tcBorders>
              <w:left w:val="single" w:sz="4"/>
              <w:top w:val="single" w:sz="4"/>
              <w:bottom w:val="single" w:sz="4"/>
            </w:tcBorders>
            <w:vAlign w:val="top"/>
          </w:tcPr>
          <w:p>
            <w:pPr>
              <w:pStyle w:val="Style10"/>
              <w:framePr w:w="10368" w:wrap="notBeside" w:vAnchor="text" w:hAnchor="text" w:xAlign="center" w:y="1"/>
              <w:widowControl w:val="0"/>
              <w:keepNext w:val="0"/>
              <w:keepLines w:val="0"/>
              <w:shd w:val="clear" w:color="auto" w:fill="auto"/>
              <w:bidi w:val="0"/>
              <w:jc w:val="center"/>
              <w:spacing w:before="0" w:after="0" w:line="288" w:lineRule="exact"/>
              <w:ind w:left="0" w:right="0" w:firstLine="0"/>
            </w:pPr>
            <w:r>
              <w:rPr>
                <w:rStyle w:val="CharStyle26"/>
              </w:rPr>
              <w:t>Не менее 15 см не более 21 см</w:t>
            </w:r>
          </w:p>
        </w:tc>
        <w:tc>
          <w:tcPr>
            <w:shd w:val="clear" w:color="auto" w:fill="FFFFFF"/>
            <w:tcBorders>
              <w:left w:val="single" w:sz="4"/>
              <w:right w:val="single" w:sz="4"/>
              <w:top w:val="single" w:sz="4"/>
              <w:bottom w:val="single" w:sz="4"/>
            </w:tcBorders>
            <w:vAlign w:val="center"/>
          </w:tcPr>
          <w:p>
            <w:pPr>
              <w:pStyle w:val="Style10"/>
              <w:framePr w:w="1036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20</w:t>
            </w:r>
          </w:p>
        </w:tc>
      </w:tr>
    </w:tbl>
    <w:p>
      <w:pPr>
        <w:widowControl w:val="0"/>
        <w:rPr>
          <w:sz w:val="2"/>
          <w:szCs w:val="2"/>
        </w:rPr>
      </w:pPr>
    </w:p>
    <w:p>
      <w:pPr>
        <w:pStyle w:val="Style10"/>
        <w:widowControl w:val="0"/>
        <w:keepNext w:val="0"/>
        <w:keepLines w:val="0"/>
        <w:shd w:val="clear" w:color="auto" w:fill="auto"/>
        <w:bidi w:val="0"/>
        <w:spacing w:before="439" w:after="0" w:line="274" w:lineRule="exact"/>
        <w:ind w:left="60" w:right="100" w:firstLine="580"/>
      </w:pPr>
      <w:r>
        <w:rPr>
          <w:lang w:val="ru-RU" w:eastAsia="ru-RU" w:bidi="ru-RU"/>
          <w:w w:val="100"/>
          <w:spacing w:val="0"/>
          <w:color w:val="000000"/>
          <w:position w:val="0"/>
        </w:rPr>
        <w:t>Представитель Заказчика считает жалобу необоснованной и пояснил, что аукционная комиссия Заказчика действовала в рамках Закона.</w:t>
      </w:r>
    </w:p>
    <w:p>
      <w:pPr>
        <w:pStyle w:val="Style10"/>
        <w:widowControl w:val="0"/>
        <w:keepNext w:val="0"/>
        <w:keepLines w:val="0"/>
        <w:shd w:val="clear" w:color="auto" w:fill="auto"/>
        <w:bidi w:val="0"/>
        <w:spacing w:before="0" w:after="0" w:line="274" w:lineRule="exact"/>
        <w:ind w:left="60" w:right="0" w:firstLine="580"/>
      </w:pPr>
      <w:r>
        <w:rPr>
          <w:lang w:val="ru-RU" w:eastAsia="ru-RU" w:bidi="ru-RU"/>
          <w:w w:val="100"/>
          <w:spacing w:val="0"/>
          <w:color w:val="000000"/>
          <w:position w:val="0"/>
        </w:rPr>
        <w:t>В результате рассмотрения жалобы Комиссия установила следующее:</w:t>
      </w:r>
    </w:p>
    <w:p>
      <w:pPr>
        <w:pStyle w:val="Style10"/>
        <w:numPr>
          <w:ilvl w:val="0"/>
          <w:numId w:val="5"/>
        </w:numPr>
        <w:widowControl w:val="0"/>
        <w:keepNext w:val="0"/>
        <w:keepLines w:val="0"/>
        <w:shd w:val="clear" w:color="auto" w:fill="auto"/>
        <w:bidi w:val="0"/>
        <w:spacing w:before="0" w:after="0" w:line="274" w:lineRule="exact"/>
        <w:ind w:left="60" w:right="100" w:firstLine="58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rStyle w:val="CharStyle27"/>
        </w:rPr>
        <w:t xml:space="preserve">- </w:t>
      </w:r>
      <w:r>
        <w:rPr>
          <w:lang w:val="ru-RU" w:eastAsia="ru-RU" w:bidi="ru-RU"/>
          <w:w w:val="100"/>
          <w:spacing w:val="0"/>
          <w:color w:val="000000"/>
          <w:position w:val="0"/>
        </w:rPr>
        <w:t>12.10.2021;</w:t>
      </w:r>
    </w:p>
    <w:p>
      <w:pPr>
        <w:pStyle w:val="Style10"/>
        <w:numPr>
          <w:ilvl w:val="0"/>
          <w:numId w:val="5"/>
        </w:numPr>
        <w:widowControl w:val="0"/>
        <w:keepNext w:val="0"/>
        <w:keepLines w:val="0"/>
        <w:shd w:val="clear" w:color="auto" w:fill="auto"/>
        <w:bidi w:val="0"/>
        <w:spacing w:before="0" w:after="0" w:line="278" w:lineRule="exact"/>
        <w:ind w:left="60" w:right="100" w:firstLine="58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0"/>
        <w:numPr>
          <w:ilvl w:val="0"/>
          <w:numId w:val="5"/>
        </w:numPr>
        <w:widowControl w:val="0"/>
        <w:keepNext w:val="0"/>
        <w:keepLines w:val="0"/>
        <w:shd w:val="clear" w:color="auto" w:fill="auto"/>
        <w:bidi w:val="0"/>
        <w:spacing w:before="0" w:after="0" w:line="278" w:lineRule="exact"/>
        <w:ind w:left="60" w:right="0" w:firstLine="580"/>
      </w:pPr>
      <w:r>
        <w:rPr>
          <w:lang w:val="ru-RU" w:eastAsia="ru-RU" w:bidi="ru-RU"/>
          <w:w w:val="100"/>
          <w:spacing w:val="0"/>
          <w:color w:val="000000"/>
          <w:position w:val="0"/>
        </w:rPr>
        <w:t xml:space="preserve"> начальная (максимальная) цена контракта - 1 427 566,40 рублей;</w:t>
      </w:r>
    </w:p>
    <w:p>
      <w:pPr>
        <w:pStyle w:val="Style10"/>
        <w:numPr>
          <w:ilvl w:val="0"/>
          <w:numId w:val="5"/>
        </w:numPr>
        <w:widowControl w:val="0"/>
        <w:keepNext w:val="0"/>
        <w:keepLines w:val="0"/>
        <w:shd w:val="clear" w:color="auto" w:fill="auto"/>
        <w:bidi w:val="0"/>
        <w:spacing w:before="0" w:after="0" w:line="283" w:lineRule="exact"/>
        <w:ind w:left="580" w:right="20" w:firstLine="560"/>
      </w:pPr>
      <w:r>
        <w:rPr>
          <w:lang w:val="ru-RU" w:eastAsia="ru-RU" w:bidi="ru-RU"/>
          <w:w w:val="100"/>
          <w:spacing w:val="0"/>
          <w:color w:val="000000"/>
          <w:position w:val="0"/>
        </w:rPr>
        <w:t xml:space="preserve"> на участие в Аукционе подано 3 (три) заявки, 1 заявка была допущена для участия в Аукционе, 2 заявки были отклонены; победитель Аукциона - ООО «ГОЛД СЕТ» (предложенная цена - 1 427 566,40 рублей);</w:t>
      </w:r>
    </w:p>
    <w:p>
      <w:pPr>
        <w:pStyle w:val="Style10"/>
        <w:numPr>
          <w:ilvl w:val="0"/>
          <w:numId w:val="5"/>
        </w:numPr>
        <w:widowControl w:val="0"/>
        <w:keepNext w:val="0"/>
        <w:keepLines w:val="0"/>
        <w:shd w:val="clear" w:color="auto" w:fill="auto"/>
        <w:bidi w:val="0"/>
        <w:spacing w:before="0" w:after="0" w:line="283" w:lineRule="exact"/>
        <w:ind w:left="580" w:right="0" w:firstLine="560"/>
      </w:pPr>
      <w:r>
        <w:rPr>
          <w:lang w:val="ru-RU" w:eastAsia="ru-RU" w:bidi="ru-RU"/>
          <w:w w:val="100"/>
          <w:spacing w:val="0"/>
          <w:color w:val="000000"/>
          <w:position w:val="0"/>
        </w:rPr>
        <w:t xml:space="preserve"> дата окончания срока подачи заявок - 20.10.2021;</w:t>
      </w:r>
    </w:p>
    <w:p>
      <w:pPr>
        <w:pStyle w:val="Style10"/>
        <w:numPr>
          <w:ilvl w:val="0"/>
          <w:numId w:val="5"/>
        </w:numPr>
        <w:widowControl w:val="0"/>
        <w:keepNext w:val="0"/>
        <w:keepLines w:val="0"/>
        <w:shd w:val="clear" w:color="auto" w:fill="auto"/>
        <w:bidi w:val="0"/>
        <w:spacing w:before="0" w:after="0" w:line="283" w:lineRule="exact"/>
        <w:ind w:left="580" w:right="0" w:firstLine="560"/>
      </w:pPr>
      <w:r>
        <w:rPr>
          <w:lang w:val="ru-RU" w:eastAsia="ru-RU" w:bidi="ru-RU"/>
          <w:w w:val="100"/>
          <w:spacing w:val="0"/>
          <w:color w:val="000000"/>
          <w:position w:val="0"/>
        </w:rPr>
        <w:t xml:space="preserve"> дата проведения Аукциона - 22.10.2021.</w:t>
      </w:r>
    </w:p>
    <w:p>
      <w:pPr>
        <w:pStyle w:val="Style10"/>
        <w:widowControl w:val="0"/>
        <w:keepNext w:val="0"/>
        <w:keepLines w:val="0"/>
        <w:shd w:val="clear" w:color="auto" w:fill="auto"/>
        <w:bidi w:val="0"/>
        <w:spacing w:before="0" w:after="0" w:line="283" w:lineRule="exact"/>
        <w:ind w:left="580" w:right="0" w:firstLine="560"/>
      </w:pPr>
      <w:r>
        <w:rPr>
          <w:lang w:val="ru-RU" w:eastAsia="ru-RU" w:bidi="ru-RU"/>
          <w:w w:val="100"/>
          <w:spacing w:val="0"/>
          <w:color w:val="000000"/>
          <w:position w:val="0"/>
        </w:rPr>
        <w:t>2. По доводу, изложенному в жалобе.</w:t>
      </w:r>
    </w:p>
    <w:p>
      <w:pPr>
        <w:pStyle w:val="Style10"/>
        <w:widowControl w:val="0"/>
        <w:keepNext w:val="0"/>
        <w:keepLines w:val="0"/>
        <w:shd w:val="clear" w:color="auto" w:fill="auto"/>
        <w:bidi w:val="0"/>
        <w:spacing w:before="0" w:after="0" w:line="283" w:lineRule="exact"/>
        <w:ind w:left="580" w:right="20" w:firstLine="560"/>
      </w:pPr>
      <w:r>
        <w:rPr>
          <w:lang w:val="ru-RU" w:eastAsia="ru-RU" w:bidi="ru-RU"/>
          <w:w w:val="100"/>
          <w:spacing w:val="0"/>
          <w:color w:val="000000"/>
          <w:position w:val="0"/>
        </w:rPr>
        <w:t>Частью 1 статьи 67 Закона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0"/>
        <w:widowControl w:val="0"/>
        <w:keepNext w:val="0"/>
        <w:keepLines w:val="0"/>
        <w:shd w:val="clear" w:color="auto" w:fill="auto"/>
        <w:bidi w:val="0"/>
        <w:spacing w:before="0" w:after="0" w:line="283" w:lineRule="exact"/>
        <w:ind w:left="580" w:right="20" w:firstLine="560"/>
      </w:pPr>
      <w:r>
        <w:rPr>
          <w:lang w:val="ru-RU" w:eastAsia="ru-RU" w:bidi="ru-RU"/>
          <w:w w:val="100"/>
          <w:spacing w:val="0"/>
          <w:color w:val="000000"/>
          <w:position w:val="0"/>
        </w:rPr>
        <w:t>В соответствии с частью 3 статьи 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w:t>
      </w:r>
    </w:p>
    <w:p>
      <w:pPr>
        <w:pStyle w:val="Style10"/>
        <w:widowControl w:val="0"/>
        <w:keepNext w:val="0"/>
        <w:keepLines w:val="0"/>
        <w:shd w:val="clear" w:color="auto" w:fill="auto"/>
        <w:bidi w:val="0"/>
        <w:spacing w:before="0" w:after="0" w:line="283" w:lineRule="exact"/>
        <w:ind w:left="580" w:right="20" w:firstLine="560"/>
      </w:pPr>
      <w:r>
        <w:rPr>
          <w:lang w:val="ru-RU" w:eastAsia="ru-RU" w:bidi="ru-RU"/>
          <w:w w:val="100"/>
          <w:spacing w:val="0"/>
          <w:color w:val="000000"/>
          <w:position w:val="0"/>
        </w:rPr>
        <w:t>Согласно пункту 2 части 4 статьи 67 Закона участник электронного аукциона не допускается к участию в нем в случае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0"/>
        <w:widowControl w:val="0"/>
        <w:keepNext w:val="0"/>
        <w:keepLines w:val="0"/>
        <w:shd w:val="clear" w:color="auto" w:fill="auto"/>
        <w:bidi w:val="0"/>
        <w:spacing w:before="0" w:after="0" w:line="283" w:lineRule="exact"/>
        <w:ind w:left="580" w:right="20" w:firstLine="56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инструкцию по ее заполнению.</w:t>
      </w:r>
    </w:p>
    <w:p>
      <w:pPr>
        <w:pStyle w:val="Style10"/>
        <w:widowControl w:val="0"/>
        <w:keepNext w:val="0"/>
        <w:keepLines w:val="0"/>
        <w:shd w:val="clear" w:color="auto" w:fill="auto"/>
        <w:bidi w:val="0"/>
        <w:spacing w:before="0" w:after="183" w:line="283" w:lineRule="exact"/>
        <w:ind w:left="580" w:right="0" w:firstLine="560"/>
      </w:pPr>
      <w:r>
        <w:rPr>
          <w:lang w:val="ru-RU" w:eastAsia="ru-RU" w:bidi="ru-RU"/>
          <w:w w:val="100"/>
          <w:spacing w:val="0"/>
          <w:color w:val="000000"/>
          <w:position w:val="0"/>
        </w:rPr>
        <w:t>В пункте 5 Информационной карты документации об Аукционе указано следующее:</w:t>
      </w:r>
    </w:p>
    <w:tbl>
      <w:tblPr>
        <w:tblOverlap w:val="never"/>
        <w:tblLayout w:type="fixed"/>
        <w:jc w:val="center"/>
      </w:tblPr>
      <w:tblGrid>
        <w:gridCol w:w="725"/>
        <w:gridCol w:w="4723"/>
        <w:gridCol w:w="5131"/>
      </w:tblGrid>
      <w:tr>
        <w:trPr>
          <w:trHeight w:val="370" w:hRule="exact"/>
        </w:trPr>
        <w:tc>
          <w:tcPr>
            <w:shd w:val="clear" w:color="auto" w:fill="FFFFFF"/>
            <w:tcBorders>
              <w:lef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200" w:right="0" w:firstLine="0"/>
            </w:pPr>
            <w:r>
              <w:rPr>
                <w:rStyle w:val="CharStyle24"/>
              </w:rPr>
              <w:t>5.1.</w:t>
            </w:r>
          </w:p>
        </w:tc>
        <w:tc>
          <w:tcPr>
            <w:shd w:val="clear" w:color="auto" w:fill="FFFFFF"/>
            <w:gridSpan w:val="2"/>
            <w:tcBorders>
              <w:left w:val="single" w:sz="4"/>
              <w:righ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4"/>
              </w:rPr>
              <w:t xml:space="preserve">Первая часть </w:t>
            </w:r>
            <w:r>
              <w:rPr>
                <w:rStyle w:val="CharStyle26"/>
              </w:rPr>
              <w:t>заявки на участие в аукционе должна содержать:</w:t>
            </w:r>
          </w:p>
        </w:tc>
      </w:tr>
      <w:tr>
        <w:trPr>
          <w:trHeight w:val="1368" w:hRule="exact"/>
        </w:trPr>
        <w:tc>
          <w:tcPr>
            <w:shd w:val="clear" w:color="auto" w:fill="FFFFFF"/>
            <w:vMerge w:val="restart"/>
            <w:tcBorders>
              <w:left w:val="single" w:sz="4"/>
              <w:top w:val="single" w:sz="4"/>
            </w:tcBorders>
            <w:vAlign w:val="center"/>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5.1.1</w:t>
            </w:r>
          </w:p>
        </w:tc>
        <w:tc>
          <w:tcPr>
            <w:shd w:val="clear" w:color="auto" w:fill="FFFFFF"/>
            <w:tcBorders>
              <w:lef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spacing w:before="0" w:after="0" w:line="269" w:lineRule="exact"/>
              <w:ind w:left="0" w:right="0" w:firstLine="0"/>
            </w:pPr>
            <w:r>
              <w:rPr>
                <w:rStyle w:val="CharStyle26"/>
              </w:rPr>
              <w:t>Согласие* УЗ на поставку товара, выполнение работы или оказание услуги на условиях, предусмотренных ДА и не подлежащих изменению по результатам проведения аукциона</w:t>
            </w:r>
          </w:p>
        </w:tc>
        <w:tc>
          <w:tcPr>
            <w:shd w:val="clear" w:color="auto" w:fill="FFFFFF"/>
            <w:tcBorders>
              <w:left w:val="single" w:sz="4"/>
              <w:right w:val="single" w:sz="4"/>
              <w:top w:val="single" w:sz="4"/>
            </w:tcBorders>
            <w:vAlign w:val="center"/>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Установлено</w:t>
            </w:r>
          </w:p>
        </w:tc>
      </w:tr>
      <w:tr>
        <w:trPr>
          <w:trHeight w:val="557" w:hRule="exact"/>
        </w:trPr>
        <w:tc>
          <w:tcPr>
            <w:shd w:val="clear" w:color="auto" w:fill="FFFFFF"/>
            <w:vMerge/>
            <w:tcBorders>
              <w:left w:val="single" w:sz="4"/>
            </w:tcBorders>
            <w:vAlign w:val="center"/>
          </w:tcPr>
          <w:p>
            <w:pPr>
              <w:framePr w:w="10579" w:wrap="notBeside" w:vAnchor="text" w:hAnchor="text" w:xAlign="center" w:y="1"/>
            </w:pPr>
          </w:p>
        </w:tc>
        <w:tc>
          <w:tcPr>
            <w:shd w:val="clear" w:color="auto" w:fill="FFFFFF"/>
            <w:gridSpan w:val="2"/>
            <w:tcBorders>
              <w:left w:val="single" w:sz="4"/>
              <w:righ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jc w:val="left"/>
              <w:spacing w:before="0" w:after="0" w:line="269" w:lineRule="exact"/>
              <w:ind w:left="60" w:right="0" w:firstLine="0"/>
            </w:pPr>
            <w:r>
              <w:rPr>
                <w:rStyle w:val="CharStyle24"/>
              </w:rPr>
              <w:t xml:space="preserve">* </w:t>
            </w:r>
            <w:r>
              <w:rPr>
                <w:rStyle w:val="CharStyle28"/>
              </w:rPr>
              <w:t>Примечание: такое согласие дается с применением программно-аппаратных средств электронной площадки.</w:t>
            </w:r>
          </w:p>
        </w:tc>
      </w:tr>
      <w:tr>
        <w:trPr>
          <w:trHeight w:val="590" w:hRule="exact"/>
        </w:trPr>
        <w:tc>
          <w:tcPr>
            <w:shd w:val="clear" w:color="auto" w:fill="FFFFFF"/>
            <w:tcBorders>
              <w:left w:val="single" w:sz="4"/>
              <w:top w:val="single" w:sz="4"/>
            </w:tcBorders>
            <w:vAlign w:val="top"/>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5.1.2</w:t>
            </w:r>
          </w:p>
        </w:tc>
        <w:tc>
          <w:tcPr>
            <w:shd w:val="clear" w:color="auto" w:fill="FFFFFF"/>
            <w:tcBorders>
              <w:lef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spacing w:before="0" w:after="0" w:line="283" w:lineRule="exact"/>
              <w:ind w:left="0" w:right="0" w:firstLine="0"/>
            </w:pPr>
            <w:r>
              <w:rPr>
                <w:rStyle w:val="CharStyle26"/>
              </w:rPr>
              <w:t>Наименование страны происхождения товара</w:t>
            </w:r>
          </w:p>
        </w:tc>
        <w:tc>
          <w:tcPr>
            <w:shd w:val="clear" w:color="auto" w:fill="FFFFFF"/>
            <w:tcBorders>
              <w:left w:val="single" w:sz="4"/>
              <w:right w:val="single" w:sz="4"/>
              <w:top w:val="single" w:sz="4"/>
            </w:tcBorders>
            <w:vAlign w:val="center"/>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Установлено</w:t>
            </w:r>
          </w:p>
        </w:tc>
      </w:tr>
      <w:tr>
        <w:trPr>
          <w:trHeight w:val="1099" w:hRule="exact"/>
        </w:trPr>
        <w:tc>
          <w:tcPr>
            <w:shd w:val="clear" w:color="auto" w:fill="FFFFFF"/>
            <w:vMerge w:val="restart"/>
            <w:tcBorders>
              <w:left w:val="single" w:sz="4"/>
              <w:top w:val="single" w:sz="4"/>
            </w:tcBorders>
            <w:vAlign w:val="center"/>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5.1.3</w:t>
            </w:r>
          </w:p>
        </w:tc>
        <w:tc>
          <w:tcPr>
            <w:shd w:val="clear" w:color="auto" w:fill="FFFFFF"/>
            <w:tcBorders>
              <w:lef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spacing w:before="0" w:after="0" w:line="264" w:lineRule="exact"/>
              <w:ind w:left="0" w:right="0" w:firstLine="0"/>
            </w:pPr>
            <w:r>
              <w:rPr>
                <w:rStyle w:val="CharStyle26"/>
              </w:rPr>
              <w:t>Конкретные показатели товара*, соответствующие значениям, установленным в ДА, и указание на товарный знак (при наличии).</w:t>
            </w:r>
          </w:p>
        </w:tc>
        <w:tc>
          <w:tcPr>
            <w:shd w:val="clear" w:color="auto" w:fill="FFFFFF"/>
            <w:tcBorders>
              <w:left w:val="single" w:sz="4"/>
              <w:right w:val="single" w:sz="4"/>
              <w:top w:val="single" w:sz="4"/>
            </w:tcBorders>
            <w:vAlign w:val="center"/>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Установлено</w:t>
            </w:r>
          </w:p>
        </w:tc>
      </w:tr>
      <w:tr>
        <w:trPr>
          <w:trHeight w:val="2218" w:hRule="exact"/>
        </w:trPr>
        <w:tc>
          <w:tcPr>
            <w:shd w:val="clear" w:color="auto" w:fill="FFFFFF"/>
            <w:vMerge/>
            <w:tcBorders>
              <w:left w:val="single" w:sz="4"/>
            </w:tcBorders>
            <w:vAlign w:val="center"/>
          </w:tcPr>
          <w:p>
            <w:pPr>
              <w:framePr w:w="10579" w:wrap="notBeside" w:vAnchor="text" w:hAnchor="text" w:xAlign="center" w:y="1"/>
            </w:pPr>
          </w:p>
        </w:tc>
        <w:tc>
          <w:tcPr>
            <w:shd w:val="clear" w:color="auto" w:fill="FFFFFF"/>
            <w:gridSpan w:val="2"/>
            <w:tcBorders>
              <w:left w:val="single" w:sz="4"/>
              <w:right w:val="single" w:sz="4"/>
              <w:top w:val="single" w:sz="4"/>
            </w:tcBorders>
            <w:vAlign w:val="bottom"/>
          </w:tcPr>
          <w:p>
            <w:pPr>
              <w:pStyle w:val="Style10"/>
              <w:framePr w:w="10579" w:wrap="notBeside" w:vAnchor="text" w:hAnchor="text" w:xAlign="center" w:y="1"/>
              <w:widowControl w:val="0"/>
              <w:keepNext w:val="0"/>
              <w:keepLines w:val="0"/>
              <w:shd w:val="clear" w:color="auto" w:fill="auto"/>
              <w:bidi w:val="0"/>
              <w:jc w:val="left"/>
              <w:spacing w:before="0" w:after="0" w:line="274" w:lineRule="exact"/>
              <w:ind w:left="40" w:right="0" w:firstLine="0"/>
            </w:pPr>
            <w:r>
              <w:rPr>
                <w:rStyle w:val="CharStyle24"/>
              </w:rPr>
              <w:t xml:space="preserve">* </w:t>
            </w:r>
            <w:r>
              <w:rPr>
                <w:rStyle w:val="CharStyle28"/>
              </w:rPr>
              <w:t>Примечание: указанная информация включается в заявку в случае отсутствия в ДА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ДА. Примерный (рекомендуемый) образец формы для заполнения УЗ настоящего требования указан в Разделе VДА.</w:t>
            </w:r>
          </w:p>
          <w:p>
            <w:pPr>
              <w:pStyle w:val="Style10"/>
              <w:framePr w:w="10579" w:wrap="notBeside" w:vAnchor="text" w:hAnchor="text" w:xAlign="center" w:y="1"/>
              <w:widowControl w:val="0"/>
              <w:keepNext w:val="0"/>
              <w:keepLines w:val="0"/>
              <w:shd w:val="clear" w:color="auto" w:fill="auto"/>
              <w:bidi w:val="0"/>
              <w:spacing w:before="0" w:after="0" w:line="274" w:lineRule="exact"/>
              <w:ind w:left="0" w:right="0" w:firstLine="0"/>
            </w:pPr>
            <w:r>
              <w:rPr>
                <w:rStyle w:val="CharStyle28"/>
              </w:rPr>
              <w:t>ДА не может содержать требования к оформлению и форме заявки на участие в аукционе. Приведенные в составе ДА образцы форм являются примерными и имеют рекомендательный характер.</w:t>
            </w:r>
          </w:p>
        </w:tc>
      </w:tr>
      <w:tr>
        <w:trPr>
          <w:trHeight w:val="576" w:hRule="exact"/>
        </w:trPr>
        <w:tc>
          <w:tcPr>
            <w:shd w:val="clear" w:color="auto" w:fill="FFFFFF"/>
            <w:tcBorders>
              <w:left w:val="single" w:sz="4"/>
              <w:top w:val="single" w:sz="4"/>
              <w:bottom w:val="single" w:sz="4"/>
            </w:tcBorders>
            <w:vAlign w:val="top"/>
          </w:tcPr>
          <w:p>
            <w:pPr>
              <w:pStyle w:val="Style10"/>
              <w:framePr w:w="10579"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5.1.4</w:t>
            </w:r>
          </w:p>
        </w:tc>
        <w:tc>
          <w:tcPr>
            <w:shd w:val="clear" w:color="auto" w:fill="FFFFFF"/>
            <w:tcBorders>
              <w:left w:val="single" w:sz="4"/>
              <w:top w:val="single" w:sz="4"/>
              <w:bottom w:val="single" w:sz="4"/>
            </w:tcBorders>
            <w:vAlign w:val="bottom"/>
          </w:tcPr>
          <w:p>
            <w:pPr>
              <w:pStyle w:val="Style10"/>
              <w:framePr w:w="10579" w:wrap="notBeside" w:vAnchor="text" w:hAnchor="text" w:xAlign="center" w:y="1"/>
              <w:widowControl w:val="0"/>
              <w:keepNext w:val="0"/>
              <w:keepLines w:val="0"/>
              <w:shd w:val="clear" w:color="auto" w:fill="auto"/>
              <w:bidi w:val="0"/>
              <w:spacing w:before="0" w:after="0" w:line="269" w:lineRule="exact"/>
              <w:ind w:left="0" w:right="0" w:firstLine="0"/>
            </w:pPr>
            <w:r>
              <w:rPr>
                <w:rStyle w:val="CharStyle26"/>
              </w:rPr>
              <w:t>Согласие УЗ на выполнение работ на условиях, предусмотренных ДА</w:t>
            </w:r>
          </w:p>
        </w:tc>
        <w:tc>
          <w:tcPr>
            <w:shd w:val="clear" w:color="auto" w:fill="FFFFFF"/>
            <w:tcBorders>
              <w:left w:val="single" w:sz="4"/>
              <w:right w:val="single" w:sz="4"/>
              <w:top w:val="single" w:sz="4"/>
              <w:bottom w:val="single" w:sz="4"/>
            </w:tcBorders>
            <w:vAlign w:val="center"/>
          </w:tcPr>
          <w:p>
            <w:pPr>
              <w:pStyle w:val="Style10"/>
              <w:framePr w:w="10579"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6"/>
              </w:rPr>
              <w:t>Не установлено</w:t>
            </w:r>
          </w:p>
        </w:tc>
      </w:tr>
    </w:tbl>
    <w:p>
      <w:pPr>
        <w:widowControl w:val="0"/>
        <w:rPr>
          <w:sz w:val="2"/>
          <w:szCs w:val="2"/>
        </w:rPr>
      </w:pPr>
    </w:p>
    <w:p>
      <w:pPr>
        <w:pStyle w:val="Style29"/>
        <w:tabs>
          <w:tab w:leader="underscore" w:pos="9973"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285"/>
        <w:ind w:left="200" w:right="320" w:firstLine="0"/>
      </w:pPr>
      <w:r>
        <w:rPr>
          <w:lang w:val="ru-RU" w:eastAsia="ru-RU" w:bidi="ru-RU"/>
          <w:w w:val="100"/>
          <w:spacing w:val="0"/>
          <w:color w:val="000000"/>
          <w:position w:val="0"/>
        </w:rPr>
        <w:t xml:space="preserve">*Примечание: устанавливается в случае включения в ДА проектной документации, предусмотренной п. 1.11 части 1 настоящего раздела. Такое согласие дается с </w:t>
      </w:r>
      <w:r>
        <w:rPr>
          <w:rStyle w:val="CharStyle31"/>
          <w:i/>
          <w:iCs/>
        </w:rPr>
        <w:t>использованием программно-аппаратных средств электронной площадки.</w:t>
      </w:r>
      <w:r>
        <w:rPr>
          <w:rStyle w:val="CharStyle32"/>
          <w:lang w:val="ru-RU" w:eastAsia="ru-RU" w:bidi="ru-RU"/>
          <w:i w:val="0"/>
          <w:iCs w:val="0"/>
        </w:rPr>
        <w:tab/>
      </w:r>
    </w:p>
    <w:p>
      <w:pPr>
        <w:pStyle w:val="Style10"/>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Пунктом 1 Раздела V. «Инструкция по заполнению заявки» документации об Аукционе установлено, что «первая часть заявки на участие в электронном аукционе, за исключением случая, предусмотренного 4.3.1 ст.66 Федерального закона №44-ФЗ, должна содержать:</w:t>
      </w:r>
    </w:p>
    <w:p>
      <w:pPr>
        <w:pStyle w:val="Style10"/>
        <w:numPr>
          <w:ilvl w:val="0"/>
          <w:numId w:val="7"/>
        </w:numPr>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но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0"/>
        <w:numPr>
          <w:ilvl w:val="0"/>
          <w:numId w:val="7"/>
        </w:numPr>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 xml:space="preserve"> При осуществлении закупки товара или закупки работы, услуги, для выполнения, оказания которых используется товар, первая часть заявки должна содержать:</w:t>
      </w:r>
    </w:p>
    <w:p>
      <w:pPr>
        <w:pStyle w:val="Style10"/>
        <w:widowControl w:val="0"/>
        <w:keepNext w:val="0"/>
        <w:keepLines w:val="0"/>
        <w:shd w:val="clear" w:color="auto" w:fill="auto"/>
        <w:bidi w:val="0"/>
        <w:spacing w:before="0" w:after="0" w:line="288" w:lineRule="exact"/>
        <w:ind w:left="20" w:right="0" w:firstLine="560"/>
      </w:pPr>
      <w:r>
        <w:rPr>
          <w:lang w:val="ru-RU" w:eastAsia="ru-RU" w:bidi="ru-RU"/>
          <w:w w:val="100"/>
          <w:spacing w:val="0"/>
          <w:color w:val="000000"/>
          <w:position w:val="0"/>
        </w:rPr>
        <w:t>а) наименование страны происхождения товара;</w:t>
      </w:r>
    </w:p>
    <w:p>
      <w:pPr>
        <w:pStyle w:val="Style10"/>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б) конкретные показатели товара, соответствующие значениям, установленным в ДА,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ДА указания на товарный знак или в случае, если УЗ предлагает товар, который обозначен товарным знаком, отличным от товарного знака, указанного в ДА».</w:t>
      </w:r>
    </w:p>
    <w:p>
      <w:pPr>
        <w:pStyle w:val="Style10"/>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Кроме того, в Разделе V. «Инструкция по заполнению заявки» документации об Аукционе указано, что «конкретные показатели товара, предоставляемые УЗ, не должны допускать разночтений или иметь двусмысленное толкование.</w:t>
      </w:r>
    </w:p>
    <w:p>
      <w:pPr>
        <w:pStyle w:val="Style10"/>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В случае если в соответствии с пунктом 1.7 Информационной карты ДА установлены показатели, позволяющие определить соответствие закупаемого товара установленным заказчиком требованиям, с указанием максимальных и (или) минимальных значений таких показателей, а также значений показателей, которые не могут изменяться, в предложении УЗ в отношении объекта закупки УЗ обязан указать конкретные значения показателей предлагаемого(-ых) к поставке товара(-ов), соответствующие значениям установленным в Описании объекта закупки (Раздел III «Техническое задание» настоящей ДА) </w:t>
      </w:r>
      <w:r>
        <w:rPr>
          <w:rStyle w:val="CharStyle12"/>
        </w:rPr>
        <w:t>в соответствии со следующими рекомендациями</w:t>
      </w:r>
      <w:r>
        <w:rPr>
          <w:lang w:val="ru-RU" w:eastAsia="ru-RU" w:bidi="ru-RU"/>
          <w:w w:val="100"/>
          <w:spacing w:val="0"/>
          <w:color w:val="000000"/>
          <w:position w:val="0"/>
        </w:rPr>
        <w:t>:</w:t>
      </w:r>
    </w:p>
    <w:p>
      <w:pPr>
        <w:pStyle w:val="Style10"/>
        <w:numPr>
          <w:ilvl w:val="0"/>
          <w:numId w:val="9"/>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в случае установления в техническом задании значений показателей, предполагающих указание </w:t>
      </w:r>
      <w:r>
        <w:rPr>
          <w:rStyle w:val="CharStyle21"/>
        </w:rPr>
        <w:t>конкретн</w:t>
      </w:r>
      <w:r>
        <w:rPr>
          <w:rStyle w:val="CharStyle33"/>
        </w:rPr>
        <w:t>ого</w:t>
      </w:r>
      <w:r>
        <w:rPr>
          <w:rStyle w:val="CharStyle21"/>
        </w:rPr>
        <w:t xml:space="preserve"> значения </w:t>
      </w:r>
      <w:r>
        <w:rPr>
          <w:lang w:val="ru-RU" w:eastAsia="ru-RU" w:bidi="ru-RU"/>
          <w:w w:val="100"/>
          <w:spacing w:val="0"/>
          <w:color w:val="000000"/>
          <w:position w:val="0"/>
        </w:rPr>
        <w:t>и позволяющих определить соответствие товара установленным заказчиком требованиям, УЗ предоставляет в заявке конкретное значение показателя, которое не должно иметь двусмысленных толкований, не должно сопровождаться словами «эквивалент», «аналог», «должен», «возможно», «допускается» и их производными, не должно сопровождаться словами «не более», «не менее», «более», «менее», «не ранее», то есть должно быть конкретным за исключением случаев, когда в официальных документах (технические регламенты, стандарты и иные документы, предусмотренные законодательством Российской Федерации о техническом регулировании, инструкция на товар и т.п.) значение показателя установлено не конкретным.</w:t>
      </w:r>
    </w:p>
    <w:p>
      <w:pPr>
        <w:pStyle w:val="Style29"/>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пример 1: при установленном значении «Не менее 2 шт.», участник аукциона указывает конкретное значение показателя, соответствующее предлагаемому товару, например, «2 шт.»;</w:t>
      </w:r>
    </w:p>
    <w:p>
      <w:pPr>
        <w:pStyle w:val="Style29"/>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пример 2: при установленном значении «Не менее 20 см не более 30 см», участник аукциона указывает конкретное значение показателя, соответствующее предлагаемому товару, например, «30 см».</w:t>
      </w:r>
    </w:p>
    <w:p>
      <w:pPr>
        <w:pStyle w:val="Style10"/>
        <w:numPr>
          <w:ilvl w:val="0"/>
          <w:numId w:val="9"/>
        </w:numPr>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 xml:space="preserve"> в случае установления заказчиком в Техническом задании значений показателей с использованием слов: «диапазон», «диапазон значений», «в диапазоне», «минимальное</w:t>
      </w:r>
    </w:p>
    <w:p>
      <w:pPr>
        <w:pStyle w:val="Style10"/>
        <w:widowControl w:val="0"/>
        <w:keepNext w:val="0"/>
        <w:keepLines w:val="0"/>
        <w:shd w:val="clear" w:color="auto" w:fill="auto"/>
        <w:bidi w:val="0"/>
        <w:spacing w:before="0" w:after="0" w:line="298" w:lineRule="exact"/>
        <w:ind w:left="300" w:right="320" w:firstLine="0"/>
      </w:pPr>
      <w:r>
        <w:rPr>
          <w:lang w:val="ru-RU" w:eastAsia="ru-RU" w:bidi="ru-RU"/>
          <w:w w:val="100"/>
          <w:spacing w:val="0"/>
          <w:color w:val="000000"/>
          <w:position w:val="0"/>
        </w:rPr>
        <w:t>значение..., максимальное значение ...», «нижняя граница диапазона.... верхняя граница диапазона...», «от не более.... до не менее....», «от не менее... до не более...», УЗ должен указать конкретные значения границ диапазона, при этом нижнее и верхнее значения границ диапазона включаются в указанный диапазон.</w:t>
      </w:r>
    </w:p>
    <w:p>
      <w:pPr>
        <w:pStyle w:val="Style29"/>
        <w:widowControl w:val="0"/>
        <w:keepNext w:val="0"/>
        <w:keepLines w:val="0"/>
        <w:shd w:val="clear" w:color="auto" w:fill="auto"/>
        <w:bidi w:val="0"/>
        <w:spacing w:before="0" w:after="0" w:line="298" w:lineRule="exact"/>
        <w:ind w:left="300" w:right="320" w:firstLine="700"/>
      </w:pPr>
      <w:r>
        <w:rPr>
          <w:lang w:val="ru-RU" w:eastAsia="ru-RU" w:bidi="ru-RU"/>
          <w:w w:val="100"/>
          <w:spacing w:val="0"/>
          <w:color w:val="000000"/>
          <w:position w:val="0"/>
        </w:rPr>
        <w:t>пример 1: при установленном значении показателя «От не менее 300 мл/мин до не более 400 мл/мин» УЗ указывает конкретное нижнее значение и конкретное верхнее значение границ диапазона, соответствующие предлагаемому товару, например, «От 300 мл/мин до 400 мл/мин» или «300 мл/мин - 400 мл/мин».</w:t>
      </w:r>
    </w:p>
    <w:p>
      <w:pPr>
        <w:pStyle w:val="Style10"/>
        <w:widowControl w:val="0"/>
        <w:keepNext w:val="0"/>
        <w:keepLines w:val="0"/>
        <w:shd w:val="clear" w:color="auto" w:fill="auto"/>
        <w:bidi w:val="0"/>
        <w:spacing w:before="0" w:after="0" w:line="298" w:lineRule="exact"/>
        <w:ind w:left="300" w:right="320" w:firstLine="700"/>
      </w:pPr>
      <w:r>
        <w:rPr>
          <w:lang w:val="ru-RU" w:eastAsia="ru-RU" w:bidi="ru-RU"/>
          <w:w w:val="100"/>
          <w:spacing w:val="0"/>
          <w:color w:val="000000"/>
          <w:position w:val="0"/>
        </w:rPr>
        <w:t>УЗ должны применяться обозначения (единицы измерения; наименования показателей), соответствующие установленным заказчиком. В случае если наименование показателя содержит слова «не более....», «не менее...», союз «или»/«либо» УЗ вправе указать конкретное значение в соответствии с предлагаемым товаром. Предложение участника должно позволять идентифицировать каждую товарную позицию, в отношении показателя которой подается предложение.</w:t>
      </w:r>
    </w:p>
    <w:p>
      <w:pPr>
        <w:pStyle w:val="Style10"/>
        <w:widowControl w:val="0"/>
        <w:keepNext w:val="0"/>
        <w:keepLines w:val="0"/>
        <w:shd w:val="clear" w:color="auto" w:fill="auto"/>
        <w:bidi w:val="0"/>
        <w:spacing w:before="0" w:after="0" w:line="298" w:lineRule="exact"/>
        <w:ind w:left="300" w:right="320" w:firstLine="700"/>
      </w:pPr>
      <w:r>
        <w:rPr>
          <w:rStyle w:val="CharStyle12"/>
        </w:rPr>
        <w:t>Единицы измерения указываются УЗ к каждому числовому значению, при указании</w:t>
      </w:r>
      <w:r>
        <w:rPr>
          <w:lang w:val="ru-RU" w:eastAsia="ru-RU" w:bidi="ru-RU"/>
          <w:w w:val="100"/>
          <w:spacing w:val="0"/>
          <w:color w:val="000000"/>
          <w:position w:val="0"/>
        </w:rPr>
        <w:t xml:space="preserve"> </w:t>
      </w:r>
      <w:r>
        <w:rPr>
          <w:rStyle w:val="CharStyle12"/>
        </w:rPr>
        <w:t>диапазона значений единица измерения указываются к начальному (при наличии)</w:t>
      </w:r>
      <w:r>
        <w:rPr>
          <w:lang w:val="ru-RU" w:eastAsia="ru-RU" w:bidi="ru-RU"/>
          <w:w w:val="100"/>
          <w:spacing w:val="0"/>
          <w:color w:val="000000"/>
          <w:position w:val="0"/>
        </w:rPr>
        <w:t xml:space="preserve"> </w:t>
      </w:r>
      <w:r>
        <w:rPr>
          <w:rStyle w:val="CharStyle12"/>
        </w:rPr>
        <w:t>числовому значению диапазона и конечному (при наличии) числовому значению</w:t>
      </w:r>
      <w:r>
        <w:rPr>
          <w:lang w:val="ru-RU" w:eastAsia="ru-RU" w:bidi="ru-RU"/>
          <w:w w:val="100"/>
          <w:spacing w:val="0"/>
          <w:color w:val="000000"/>
          <w:position w:val="0"/>
        </w:rPr>
        <w:t xml:space="preserve"> </w:t>
      </w:r>
      <w:r>
        <w:rPr>
          <w:rStyle w:val="CharStyle12"/>
        </w:rPr>
        <w:t>диапазона</w:t>
      </w:r>
      <w:r>
        <w:rPr>
          <w:lang w:val="ru-RU" w:eastAsia="ru-RU" w:bidi="ru-RU"/>
          <w:w w:val="100"/>
          <w:spacing w:val="0"/>
          <w:color w:val="000000"/>
          <w:position w:val="0"/>
        </w:rPr>
        <w:t>.</w:t>
      </w:r>
    </w:p>
    <w:p>
      <w:pPr>
        <w:pStyle w:val="Style10"/>
        <w:widowControl w:val="0"/>
        <w:keepNext w:val="0"/>
        <w:keepLines w:val="0"/>
        <w:shd w:val="clear" w:color="auto" w:fill="auto"/>
        <w:bidi w:val="0"/>
        <w:spacing w:before="0" w:after="0" w:line="298" w:lineRule="exact"/>
        <w:ind w:left="300" w:right="320" w:firstLine="700"/>
      </w:pPr>
      <w:r>
        <w:rPr>
          <w:lang w:val="ru-RU" w:eastAsia="ru-RU" w:bidi="ru-RU"/>
          <w:w w:val="100"/>
          <w:spacing w:val="0"/>
          <w:color w:val="000000"/>
          <w:position w:val="0"/>
        </w:rPr>
        <w:t>Таким образом, все указываемые значения показателей должны содержать единицы измерения, в соответствии с техническим заданием аукционной документации.</w:t>
      </w:r>
    </w:p>
    <w:p>
      <w:pPr>
        <w:pStyle w:val="Style35"/>
        <w:framePr w:w="10810" w:wrap="notBeside" w:vAnchor="text" w:hAnchor="text" w:xAlign="center" w:y="1"/>
        <w:tabs>
          <w:tab w:leader="underscore" w:pos="5222" w:val="left"/>
          <w:tab w:leader="underscore" w:pos="8501" w:val="left"/>
          <w:tab w:leader="underscore" w:pos="9490" w:val="left"/>
          <w:tab w:leader="underscore" w:pos="10234"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Согласно Раздела Ш.Техническое задание документации об Аукционе Заказчику </w:t>
      </w:r>
      <w:r>
        <w:rPr>
          <w:rStyle w:val="CharStyle37"/>
        </w:rPr>
        <w:t>необходим следующий товар:</w:t>
      </w:r>
      <w:r>
        <w:rPr>
          <w:lang w:val="ru-RU" w:eastAsia="ru-RU" w:bidi="ru-RU"/>
          <w:w w:val="100"/>
          <w:spacing w:val="0"/>
          <w:color w:val="000000"/>
          <w:position w:val="0"/>
        </w:rPr>
        <w:tab/>
        <w:tab/>
        <w:tab/>
        <w:tab/>
      </w:r>
    </w:p>
    <w:tbl>
      <w:tblPr>
        <w:tblOverlap w:val="never"/>
        <w:tblLayout w:type="fixed"/>
        <w:jc w:val="center"/>
      </w:tblPr>
      <w:tblGrid>
        <w:gridCol w:w="437"/>
        <w:gridCol w:w="1085"/>
        <w:gridCol w:w="1090"/>
        <w:gridCol w:w="2923"/>
        <w:gridCol w:w="3278"/>
        <w:gridCol w:w="984"/>
        <w:gridCol w:w="1013"/>
      </w:tblGrid>
      <w:tr>
        <w:trPr>
          <w:trHeight w:val="989" w:hRule="exact"/>
        </w:trPr>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left"/>
              <w:spacing w:before="0" w:after="300" w:line="190" w:lineRule="exact"/>
              <w:ind w:left="160" w:right="0" w:firstLine="0"/>
            </w:pPr>
            <w:r>
              <w:rPr>
                <w:rStyle w:val="CharStyle25"/>
              </w:rPr>
              <w:t>№</w:t>
            </w:r>
          </w:p>
          <w:p>
            <w:pPr>
              <w:pStyle w:val="Style10"/>
              <w:framePr w:w="10810" w:wrap="notBeside" w:vAnchor="text" w:hAnchor="text" w:xAlign="center" w:y="1"/>
              <w:widowControl w:val="0"/>
              <w:keepNext w:val="0"/>
              <w:keepLines w:val="0"/>
              <w:shd w:val="clear" w:color="auto" w:fill="auto"/>
              <w:bidi w:val="0"/>
              <w:jc w:val="left"/>
              <w:spacing w:before="300" w:after="120" w:line="190" w:lineRule="exact"/>
              <w:ind w:left="160" w:right="0" w:firstLine="0"/>
            </w:pPr>
            <w:r>
              <w:rPr>
                <w:rStyle w:val="CharStyle25"/>
              </w:rPr>
              <w:t>п/</w:t>
            </w:r>
          </w:p>
          <w:p>
            <w:pPr>
              <w:pStyle w:val="Style10"/>
              <w:framePr w:w="10810" w:wrap="notBeside" w:vAnchor="text" w:hAnchor="text" w:xAlign="center" w:y="1"/>
              <w:widowControl w:val="0"/>
              <w:keepNext w:val="0"/>
              <w:keepLines w:val="0"/>
              <w:shd w:val="clear" w:color="auto" w:fill="auto"/>
              <w:bidi w:val="0"/>
              <w:jc w:val="left"/>
              <w:spacing w:before="120" w:after="0" w:line="190" w:lineRule="exact"/>
              <w:ind w:left="160" w:right="0" w:firstLine="0"/>
            </w:pPr>
            <w:r>
              <w:rPr>
                <w:rStyle w:val="CharStyle25"/>
              </w:rPr>
              <w:t>п</w:t>
            </w:r>
          </w:p>
        </w:tc>
        <w:tc>
          <w:tcPr>
            <w:shd w:val="clear" w:color="auto" w:fill="FFFFFF"/>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Наммено</w:t>
            </w:r>
          </w:p>
          <w:p>
            <w:pPr>
              <w:pStyle w:val="Style10"/>
              <w:framePr w:w="10810"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ванне</w:t>
            </w:r>
          </w:p>
        </w:tc>
        <w:tc>
          <w:tcPr>
            <w:shd w:val="clear" w:color="auto" w:fill="FFFFFF"/>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Код</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позиции</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КТРУ</w:t>
            </w:r>
          </w:p>
        </w:tc>
        <w:tc>
          <w:tcPr>
            <w:shd w:val="clear" w:color="auto" w:fill="FFFFFF"/>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left"/>
              <w:spacing w:before="0" w:after="0" w:line="190" w:lineRule="exact"/>
              <w:ind w:left="200" w:right="0" w:firstLine="0"/>
            </w:pPr>
            <w:r>
              <w:rPr>
                <w:rStyle w:val="CharStyle25"/>
              </w:rPr>
              <w:t>Наименование показателя</w:t>
            </w:r>
          </w:p>
        </w:tc>
        <w:tc>
          <w:tcPr>
            <w:shd w:val="clear" w:color="auto" w:fill="FFFFFF"/>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Значения показателей</w:t>
            </w:r>
          </w:p>
        </w:tc>
        <w:tc>
          <w:tcPr>
            <w:shd w:val="clear" w:color="auto" w:fill="FFFFFF"/>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Ед. изм.</w:t>
            </w:r>
          </w:p>
        </w:tc>
        <w:tc>
          <w:tcPr>
            <w:shd w:val="clear" w:color="auto" w:fill="FFFFFF"/>
            <w:tcBorders>
              <w:left w:val="single" w:sz="4"/>
              <w:righ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Кол-во</w:t>
            </w:r>
          </w:p>
        </w:tc>
      </w:tr>
      <w:tr>
        <w:trPr>
          <w:trHeight w:val="245" w:hRule="exact"/>
        </w:trPr>
        <w:tc>
          <w:tcPr>
            <w:shd w:val="clear" w:color="auto" w:fill="FFFFFF"/>
            <w:vMerge w:val="restart"/>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25"/>
              </w:rPr>
              <w:t>1</w:t>
            </w:r>
          </w:p>
        </w:tc>
        <w:tc>
          <w:tcPr>
            <w:shd w:val="clear" w:color="auto" w:fill="FFFFFF"/>
            <w:vMerge w:val="restart"/>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Катетер</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8"/>
              </w:rPr>
              <w:t>ДЛЯ</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гемодиал</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иза,</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импланти</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руемый</w:t>
            </w:r>
          </w:p>
        </w:tc>
        <w:tc>
          <w:tcPr>
            <w:shd w:val="clear" w:color="auto" w:fill="FFFFFF"/>
            <w:vMerge w:val="restart"/>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32.50.13.</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110-</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00005196</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Материал катетера</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Полиуретан</w:t>
            </w:r>
          </w:p>
        </w:tc>
        <w:tc>
          <w:tcPr>
            <w:shd w:val="clear" w:color="auto" w:fill="FFFFFF"/>
            <w:vMerge w:val="restart"/>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шт.</w:t>
            </w:r>
          </w:p>
        </w:tc>
        <w:tc>
          <w:tcPr>
            <w:shd w:val="clear" w:color="auto" w:fill="FFFFFF"/>
            <w:vMerge w:val="restart"/>
            <w:tcBorders>
              <w:left w:val="single" w:sz="4"/>
              <w:righ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30</w:t>
            </w:r>
          </w:p>
        </w:tc>
      </w:tr>
      <w:tr>
        <w:trPr>
          <w:trHeight w:val="245"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bottom"/>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Раздвоенный кончик катетера</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240"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bottom"/>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Внешний диаметр</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 xml:space="preserve">Не менее 14 </w:t>
            </w:r>
            <w:r>
              <w:rPr>
                <w:rStyle w:val="CharStyle25"/>
                <w:lang w:val="en-US" w:eastAsia="en-US" w:bidi="en-US"/>
              </w:rPr>
              <w:t xml:space="preserve">Fr </w:t>
            </w:r>
            <w:r>
              <w:rPr>
                <w:rStyle w:val="CharStyle25"/>
              </w:rPr>
              <w:t xml:space="preserve">не более 15 </w:t>
            </w:r>
            <w:r>
              <w:rPr>
                <w:rStyle w:val="CharStyle25"/>
                <w:lang w:val="en-US" w:eastAsia="en-US" w:bidi="en-US"/>
              </w:rPr>
              <w:t>Fr</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245"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bottom"/>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Длина</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Не менее 20 см не более 30 см</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494"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bottom"/>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240" w:lineRule="exact"/>
              <w:ind w:left="0" w:right="0" w:firstLine="0"/>
            </w:pPr>
            <w:r>
              <w:rPr>
                <w:rStyle w:val="CharStyle25"/>
              </w:rPr>
              <w:t>Индивидуальная стерильная упаковка</w:t>
            </w:r>
          </w:p>
        </w:tc>
        <w:tc>
          <w:tcPr>
            <w:shd w:val="clear" w:color="auto" w:fill="FFFFFF"/>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250" w:hRule="exact"/>
        </w:trPr>
        <w:tc>
          <w:tcPr>
            <w:shd w:val="clear" w:color="auto" w:fill="FFFFFF"/>
            <w:vMerge w:val="restart"/>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25"/>
              </w:rPr>
              <w:t>2</w:t>
            </w:r>
          </w:p>
        </w:tc>
        <w:tc>
          <w:tcPr>
            <w:shd w:val="clear" w:color="auto" w:fill="FFFFFF"/>
            <w:vMerge w:val="restart"/>
            <w:tcBorders>
              <w:left w:val="single" w:sz="4"/>
              <w:top w:val="single" w:sz="4"/>
            </w:tcBorders>
            <w:vAlign w:val="top"/>
          </w:tcPr>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Катетер</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для</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гемодиал</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иза,</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неимплан</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тируемы</w:t>
            </w:r>
          </w:p>
          <w:p>
            <w:pPr>
              <w:pStyle w:val="Style10"/>
              <w:framePr w:w="10810"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й</w:t>
            </w:r>
          </w:p>
        </w:tc>
        <w:tc>
          <w:tcPr>
            <w:shd w:val="clear" w:color="auto" w:fill="FFFFFF"/>
            <w:vMerge w:val="restart"/>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32.50.13.</w:t>
            </w:r>
          </w:p>
          <w:p>
            <w:pPr>
              <w:pStyle w:val="Style10"/>
              <w:framePr w:w="10810"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110-</w:t>
            </w:r>
          </w:p>
          <w:p>
            <w:pPr>
              <w:pStyle w:val="Style10"/>
              <w:framePr w:w="10810"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00005195</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Материал катетера</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Полиуретан</w:t>
            </w:r>
          </w:p>
        </w:tc>
        <w:tc>
          <w:tcPr>
            <w:shd w:val="clear" w:color="auto" w:fill="FFFFFF"/>
            <w:vMerge w:val="restart"/>
            <w:tcBorders>
              <w:lef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шт.</w:t>
            </w:r>
          </w:p>
        </w:tc>
        <w:tc>
          <w:tcPr>
            <w:shd w:val="clear" w:color="auto" w:fill="FFFFFF"/>
            <w:vMerge w:val="restart"/>
            <w:tcBorders>
              <w:left w:val="single" w:sz="4"/>
              <w:right w:val="single" w:sz="4"/>
              <w:top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110</w:t>
            </w:r>
          </w:p>
        </w:tc>
      </w:tr>
      <w:tr>
        <w:trPr>
          <w:trHeight w:val="245"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top"/>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Форма стержня катетера</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Овальная</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254"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top"/>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Внешний диаметр</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 xml:space="preserve">Не менее 12 </w:t>
            </w:r>
            <w:r>
              <w:rPr>
                <w:rStyle w:val="CharStyle25"/>
                <w:lang w:val="en-US" w:eastAsia="en-US" w:bidi="en-US"/>
              </w:rPr>
              <w:t xml:space="preserve">Fr </w:t>
            </w:r>
            <w:r>
              <w:rPr>
                <w:rStyle w:val="CharStyle25"/>
              </w:rPr>
              <w:t xml:space="preserve">не более 14 </w:t>
            </w:r>
            <w:r>
              <w:rPr>
                <w:rStyle w:val="CharStyle25"/>
                <w:lang w:val="en-US" w:eastAsia="en-US" w:bidi="en-US"/>
              </w:rPr>
              <w:t>Fr</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298" w:hRule="exact"/>
        </w:trPr>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tcBorders>
            <w:vAlign w:val="top"/>
          </w:tcPr>
          <w:p>
            <w:pPr>
              <w:framePr w:w="10810" w:wrap="notBeside" w:vAnchor="text" w:hAnchor="text" w:xAlign="center" w:y="1"/>
            </w:pPr>
          </w:p>
        </w:tc>
        <w:tc>
          <w:tcPr>
            <w:shd w:val="clear" w:color="auto" w:fill="FFFFFF"/>
            <w:vMerge/>
            <w:tcBorders>
              <w:left w:val="single" w:sz="4"/>
            </w:tcBorders>
            <w:vAlign w:val="center"/>
          </w:tcPr>
          <w:p>
            <w:pPr>
              <w:framePr w:w="10810" w:wrap="notBeside" w:vAnchor="text" w:hAnchor="text" w:xAlign="center" w:y="1"/>
            </w:pP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spacing w:before="0" w:after="0" w:line="190" w:lineRule="exact"/>
              <w:ind w:left="0" w:right="0" w:firstLine="0"/>
            </w:pPr>
            <w:r>
              <w:rPr>
                <w:rStyle w:val="CharStyle25"/>
              </w:rPr>
              <w:t>Длина</w:t>
            </w:r>
          </w:p>
        </w:tc>
        <w:tc>
          <w:tcPr>
            <w:shd w:val="clear" w:color="auto" w:fill="FFFFFF"/>
            <w:tcBorders>
              <w:left w:val="single" w:sz="4"/>
              <w:top w:val="single" w:sz="4"/>
            </w:tcBorders>
            <w:vAlign w:val="bottom"/>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Не менее 15 см не более 21 см</w:t>
            </w:r>
          </w:p>
        </w:tc>
        <w:tc>
          <w:tcPr>
            <w:shd w:val="clear" w:color="auto" w:fill="FFFFFF"/>
            <w:vMerge/>
            <w:tcBorders>
              <w:left w:val="single" w:sz="4"/>
            </w:tcBorders>
            <w:vAlign w:val="center"/>
          </w:tcPr>
          <w:p>
            <w:pPr>
              <w:framePr w:w="10810" w:wrap="notBeside" w:vAnchor="text" w:hAnchor="text" w:xAlign="center" w:y="1"/>
            </w:pPr>
          </w:p>
        </w:tc>
        <w:tc>
          <w:tcPr>
            <w:shd w:val="clear" w:color="auto" w:fill="FFFFFF"/>
            <w:vMerge/>
            <w:tcBorders>
              <w:left w:val="single" w:sz="4"/>
              <w:right w:val="single" w:sz="4"/>
            </w:tcBorders>
            <w:vAlign w:val="center"/>
          </w:tcPr>
          <w:p>
            <w:pPr>
              <w:framePr w:w="10810" w:wrap="notBeside" w:vAnchor="text" w:hAnchor="text" w:xAlign="center" w:y="1"/>
            </w:pPr>
          </w:p>
        </w:tc>
      </w:tr>
      <w:tr>
        <w:trPr>
          <w:trHeight w:val="658" w:hRule="exact"/>
        </w:trPr>
        <w:tc>
          <w:tcPr>
            <w:shd w:val="clear" w:color="auto" w:fill="FFFFFF"/>
            <w:vMerge/>
            <w:tcBorders>
              <w:left w:val="single" w:sz="4"/>
              <w:bottom w:val="single" w:sz="4"/>
            </w:tcBorders>
            <w:vAlign w:val="center"/>
          </w:tcPr>
          <w:p>
            <w:pPr>
              <w:framePr w:w="10810" w:wrap="notBeside" w:vAnchor="text" w:hAnchor="text" w:xAlign="center" w:y="1"/>
            </w:pPr>
          </w:p>
        </w:tc>
        <w:tc>
          <w:tcPr>
            <w:shd w:val="clear" w:color="auto" w:fill="FFFFFF"/>
            <w:vMerge/>
            <w:tcBorders>
              <w:left w:val="single" w:sz="4"/>
              <w:bottom w:val="single" w:sz="4"/>
            </w:tcBorders>
            <w:vAlign w:val="top"/>
          </w:tcPr>
          <w:p>
            <w:pPr>
              <w:framePr w:w="10810" w:wrap="notBeside" w:vAnchor="text" w:hAnchor="text" w:xAlign="center" w:y="1"/>
            </w:pPr>
          </w:p>
        </w:tc>
        <w:tc>
          <w:tcPr>
            <w:shd w:val="clear" w:color="auto" w:fill="FFFFFF"/>
            <w:vMerge/>
            <w:tcBorders>
              <w:left w:val="single" w:sz="4"/>
              <w:bottom w:val="single" w:sz="4"/>
            </w:tcBorders>
            <w:vAlign w:val="center"/>
          </w:tcPr>
          <w:p>
            <w:pPr>
              <w:framePr w:w="10810" w:wrap="notBeside" w:vAnchor="text" w:hAnchor="text" w:xAlign="center" w:y="1"/>
            </w:pPr>
          </w:p>
        </w:tc>
        <w:tc>
          <w:tcPr>
            <w:shd w:val="clear" w:color="auto" w:fill="FFFFFF"/>
            <w:tcBorders>
              <w:left w:val="single" w:sz="4"/>
              <w:top w:val="single" w:sz="4"/>
              <w:bottom w:val="single" w:sz="4"/>
            </w:tcBorders>
            <w:vAlign w:val="center"/>
          </w:tcPr>
          <w:p>
            <w:pPr>
              <w:pStyle w:val="Style10"/>
              <w:framePr w:w="10810" w:wrap="notBeside" w:vAnchor="text" w:hAnchor="text" w:xAlign="center" w:y="1"/>
              <w:widowControl w:val="0"/>
              <w:keepNext w:val="0"/>
              <w:keepLines w:val="0"/>
              <w:shd w:val="clear" w:color="auto" w:fill="auto"/>
              <w:bidi w:val="0"/>
              <w:spacing w:before="0" w:after="0" w:line="240" w:lineRule="exact"/>
              <w:ind w:left="0" w:right="0" w:firstLine="0"/>
            </w:pPr>
            <w:r>
              <w:rPr>
                <w:rStyle w:val="CharStyle25"/>
              </w:rPr>
              <w:t>Индивидуальная стерильная упаковка</w:t>
            </w:r>
          </w:p>
        </w:tc>
        <w:tc>
          <w:tcPr>
            <w:shd w:val="clear" w:color="auto" w:fill="FFFFFF"/>
            <w:tcBorders>
              <w:left w:val="single" w:sz="4"/>
              <w:top w:val="single" w:sz="4"/>
              <w:bottom w:val="single" w:sz="4"/>
            </w:tcBorders>
            <w:vAlign w:val="center"/>
          </w:tcPr>
          <w:p>
            <w:pPr>
              <w:pStyle w:val="Style10"/>
              <w:framePr w:w="1081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vMerge/>
            <w:tcBorders>
              <w:left w:val="single" w:sz="4"/>
              <w:bottom w:val="single" w:sz="4"/>
            </w:tcBorders>
            <w:vAlign w:val="center"/>
          </w:tcPr>
          <w:p>
            <w:pPr>
              <w:framePr w:w="10810" w:wrap="notBeside" w:vAnchor="text" w:hAnchor="text" w:xAlign="center" w:y="1"/>
            </w:pPr>
          </w:p>
        </w:tc>
        <w:tc>
          <w:tcPr>
            <w:shd w:val="clear" w:color="auto" w:fill="FFFFFF"/>
            <w:vMerge/>
            <w:tcBorders>
              <w:left w:val="single" w:sz="4"/>
              <w:right w:val="single" w:sz="4"/>
              <w:bottom w:val="single" w:sz="4"/>
            </w:tcBorders>
            <w:vAlign w:val="center"/>
          </w:tcPr>
          <w:p>
            <w:pPr>
              <w:framePr w:w="10810" w:wrap="notBeside" w:vAnchor="text" w:hAnchor="text" w:xAlign="center" w:y="1"/>
            </w:pPr>
          </w:p>
        </w:tc>
      </w:tr>
    </w:tbl>
    <w:p>
      <w:pPr>
        <w:widowControl w:val="0"/>
        <w:spacing w:line="420" w:lineRule="exact"/>
        <w:rPr>
          <w:sz w:val="24"/>
          <w:szCs w:val="24"/>
        </w:rPr>
      </w:pPr>
    </w:p>
    <w:p>
      <w:pPr>
        <w:pStyle w:val="Style35"/>
        <w:framePr w:w="10733" w:wrap="notBeside" w:vAnchor="text" w:hAnchor="text" w:xAlign="center" w:y="1"/>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Из анализа заявки ООО «Астемедика» следует, что к поставке предлагается:</w:t>
      </w:r>
    </w:p>
    <w:tbl>
      <w:tblPr>
        <w:tblOverlap w:val="never"/>
        <w:tblLayout w:type="fixed"/>
        <w:jc w:val="center"/>
      </w:tblPr>
      <w:tblGrid>
        <w:gridCol w:w="643"/>
        <w:gridCol w:w="1262"/>
        <w:gridCol w:w="1066"/>
        <w:gridCol w:w="1738"/>
        <w:gridCol w:w="1483"/>
        <w:gridCol w:w="1987"/>
        <w:gridCol w:w="1358"/>
        <w:gridCol w:w="581"/>
        <w:gridCol w:w="614"/>
      </w:tblGrid>
      <w:tr>
        <w:trPr>
          <w:trHeight w:val="2664" w:hRule="exact"/>
        </w:trPr>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w:t>
            </w:r>
          </w:p>
          <w:p>
            <w:pPr>
              <w:pStyle w:val="Style10"/>
              <w:framePr w:w="10733"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п/п</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Наименов</w:t>
            </w:r>
          </w:p>
          <w:p>
            <w:pPr>
              <w:pStyle w:val="Style10"/>
              <w:framePr w:w="10733"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ание</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Код</w:t>
            </w:r>
          </w:p>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позиции</w:t>
            </w:r>
          </w:p>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КТРУ</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Наименование</w:t>
            </w:r>
          </w:p>
          <w:p>
            <w:pPr>
              <w:pStyle w:val="Style10"/>
              <w:framePr w:w="10733"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показателя</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Значения</w:t>
            </w:r>
          </w:p>
          <w:p>
            <w:pPr>
              <w:pStyle w:val="Style10"/>
              <w:framePr w:w="10733"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показателей</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Конкретные показатели товара, соответствующие значениям, установленным в настоящей документации об электронном аукционе</w:t>
            </w: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spacing w:before="0" w:after="0" w:line="240" w:lineRule="exact"/>
              <w:ind w:left="0" w:right="0" w:firstLine="0"/>
            </w:pPr>
            <w:r>
              <w:rPr>
                <w:rStyle w:val="CharStyle25"/>
              </w:rPr>
              <w:t>Наименова ние страны происхожде ния товара и</w:t>
            </w:r>
          </w:p>
          <w:p>
            <w:pPr>
              <w:pStyle w:val="Style10"/>
              <w:framePr w:w="10733" w:wrap="notBeside" w:vAnchor="text" w:hAnchor="text" w:xAlign="center" w:y="1"/>
              <w:widowControl w:val="0"/>
              <w:keepNext w:val="0"/>
              <w:keepLines w:val="0"/>
              <w:shd w:val="clear" w:color="auto" w:fill="auto"/>
              <w:bidi w:val="0"/>
              <w:spacing w:before="0" w:after="0" w:line="240" w:lineRule="exact"/>
              <w:ind w:left="0" w:right="0" w:firstLine="0"/>
            </w:pPr>
            <w:r>
              <w:rPr>
                <w:rStyle w:val="CharStyle25"/>
              </w:rPr>
              <w:t>указанием</w:t>
            </w:r>
          </w:p>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на</w:t>
            </w:r>
          </w:p>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товарный</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знак</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(при</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наличии)</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60" w:line="190" w:lineRule="exact"/>
              <w:ind w:left="140" w:right="0" w:firstLine="0"/>
            </w:pPr>
            <w:r>
              <w:rPr>
                <w:rStyle w:val="CharStyle25"/>
              </w:rPr>
              <w:t>Ед.</w:t>
            </w:r>
          </w:p>
          <w:p>
            <w:pPr>
              <w:pStyle w:val="Style10"/>
              <w:framePr w:w="10733" w:wrap="notBeside" w:vAnchor="text" w:hAnchor="text" w:xAlign="center" w:y="1"/>
              <w:widowControl w:val="0"/>
              <w:keepNext w:val="0"/>
              <w:keepLines w:val="0"/>
              <w:shd w:val="clear" w:color="auto" w:fill="auto"/>
              <w:bidi w:val="0"/>
              <w:jc w:val="left"/>
              <w:spacing w:before="60" w:after="0" w:line="190" w:lineRule="exact"/>
              <w:ind w:left="140" w:right="0" w:firstLine="0"/>
            </w:pPr>
            <w:r>
              <w:rPr>
                <w:rStyle w:val="CharStyle25"/>
              </w:rPr>
              <w:t>изм</w:t>
            </w:r>
          </w:p>
        </w:tc>
        <w:tc>
          <w:tcPr>
            <w:shd w:val="clear" w:color="auto" w:fill="FFFFFF"/>
            <w:tcBorders>
              <w:left w:val="single" w:sz="4"/>
              <w:righ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60" w:line="190" w:lineRule="exact"/>
              <w:ind w:left="160" w:right="0" w:firstLine="0"/>
            </w:pPr>
            <w:r>
              <w:rPr>
                <w:rStyle w:val="CharStyle25"/>
              </w:rPr>
              <w:t>Кол</w:t>
            </w:r>
          </w:p>
          <w:p>
            <w:pPr>
              <w:pStyle w:val="Style10"/>
              <w:framePr w:w="10733" w:wrap="notBeside" w:vAnchor="text" w:hAnchor="text" w:xAlign="center" w:y="1"/>
              <w:widowControl w:val="0"/>
              <w:keepNext w:val="0"/>
              <w:keepLines w:val="0"/>
              <w:shd w:val="clear" w:color="auto" w:fill="auto"/>
              <w:bidi w:val="0"/>
              <w:jc w:val="left"/>
              <w:spacing w:before="60" w:after="0" w:line="190" w:lineRule="exact"/>
              <w:ind w:left="160" w:right="0" w:firstLine="0"/>
            </w:pPr>
            <w:r>
              <w:rPr>
                <w:rStyle w:val="CharStyle25"/>
              </w:rPr>
              <w:t>-во</w:t>
            </w:r>
          </w:p>
        </w:tc>
      </w:tr>
      <w:tr>
        <w:trPr>
          <w:trHeight w:val="514" w:hRule="exact"/>
        </w:trPr>
        <w:tc>
          <w:tcPr>
            <w:shd w:val="clear" w:color="auto" w:fill="FFFFFF"/>
            <w:tcBorders>
              <w:left w:val="single" w:sz="4"/>
              <w:top w:val="single" w:sz="4"/>
              <w:bottom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1</w:t>
            </w:r>
          </w:p>
        </w:tc>
        <w:tc>
          <w:tcPr>
            <w:shd w:val="clear" w:color="auto" w:fill="FFFFFF"/>
            <w:tcBorders>
              <w:left w:val="single" w:sz="4"/>
              <w:top w:val="single" w:sz="4"/>
              <w:bottom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Катетер</w:t>
            </w:r>
          </w:p>
          <w:p>
            <w:pPr>
              <w:pStyle w:val="Style10"/>
              <w:framePr w:w="10733" w:wrap="notBeside" w:vAnchor="text" w:hAnchor="text" w:xAlign="center" w:y="1"/>
              <w:widowControl w:val="0"/>
              <w:keepNext w:val="0"/>
              <w:keepLines w:val="0"/>
              <w:shd w:val="clear" w:color="auto" w:fill="auto"/>
              <w:bidi w:val="0"/>
              <w:jc w:val="center"/>
              <w:spacing w:before="60" w:after="0" w:line="130" w:lineRule="exact"/>
              <w:ind w:left="0" w:right="0" w:firstLine="0"/>
            </w:pPr>
            <w:r>
              <w:rPr>
                <w:rStyle w:val="CharStyle38"/>
              </w:rPr>
              <w:t>ДЛЯ</w:t>
            </w:r>
          </w:p>
        </w:tc>
        <w:tc>
          <w:tcPr>
            <w:shd w:val="clear" w:color="auto" w:fill="FFFFFF"/>
            <w:tcBorders>
              <w:left w:val="single" w:sz="4"/>
              <w:top w:val="single" w:sz="4"/>
              <w:bottom w:val="single" w:sz="4"/>
            </w:tcBorders>
            <w:vAlign w:val="bottom"/>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32.50.13.</w:t>
            </w:r>
          </w:p>
        </w:tc>
        <w:tc>
          <w:tcPr>
            <w:shd w:val="clear" w:color="auto" w:fill="FFFFFF"/>
            <w:tcBorders>
              <w:left w:val="single" w:sz="4"/>
              <w:top w:val="single" w:sz="4"/>
              <w:bottom w:val="single" w:sz="4"/>
            </w:tcBorders>
            <w:vAlign w:val="top"/>
          </w:tcPr>
          <w:p>
            <w:pPr>
              <w:pStyle w:val="Style10"/>
              <w:framePr w:w="10733" w:wrap="notBeside" w:vAnchor="text" w:hAnchor="text" w:xAlign="center" w:y="1"/>
              <w:widowControl w:val="0"/>
              <w:keepNext w:val="0"/>
              <w:keepLines w:val="0"/>
              <w:shd w:val="clear" w:color="auto" w:fill="auto"/>
              <w:bidi w:val="0"/>
              <w:jc w:val="left"/>
              <w:spacing w:before="0" w:after="60" w:line="190" w:lineRule="exact"/>
              <w:ind w:left="140" w:right="0" w:firstLine="0"/>
            </w:pPr>
            <w:r>
              <w:rPr>
                <w:rStyle w:val="CharStyle25"/>
              </w:rPr>
              <w:t>Материал</w:t>
            </w:r>
          </w:p>
          <w:p>
            <w:pPr>
              <w:pStyle w:val="Style10"/>
              <w:framePr w:w="10733" w:wrap="notBeside" w:vAnchor="text" w:hAnchor="text" w:xAlign="center" w:y="1"/>
              <w:widowControl w:val="0"/>
              <w:keepNext w:val="0"/>
              <w:keepLines w:val="0"/>
              <w:shd w:val="clear" w:color="auto" w:fill="auto"/>
              <w:bidi w:val="0"/>
              <w:jc w:val="left"/>
              <w:spacing w:before="60" w:after="0" w:line="190" w:lineRule="exact"/>
              <w:ind w:left="140" w:right="0" w:firstLine="0"/>
            </w:pPr>
            <w:r>
              <w:rPr>
                <w:rStyle w:val="CharStyle25"/>
              </w:rPr>
              <w:t>катетера</w:t>
            </w:r>
          </w:p>
        </w:tc>
        <w:tc>
          <w:tcPr>
            <w:shd w:val="clear" w:color="auto" w:fill="FFFFFF"/>
            <w:tcBorders>
              <w:left w:val="single" w:sz="4"/>
              <w:top w:val="single" w:sz="4"/>
              <w:bottom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Полиуретан</w:t>
            </w:r>
          </w:p>
        </w:tc>
        <w:tc>
          <w:tcPr>
            <w:shd w:val="clear" w:color="auto" w:fill="FFFFFF"/>
            <w:tcBorders>
              <w:left w:val="single" w:sz="4"/>
              <w:top w:val="single" w:sz="4"/>
              <w:bottom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Полиуретан</w:t>
            </w:r>
          </w:p>
        </w:tc>
        <w:tc>
          <w:tcPr>
            <w:shd w:val="clear" w:color="auto" w:fill="FFFFFF"/>
            <w:tcBorders>
              <w:left w:val="single" w:sz="4"/>
              <w:top w:val="single" w:sz="4"/>
              <w:bottom w:val="single" w:sz="4"/>
            </w:tcBorders>
            <w:vAlign w:val="top"/>
          </w:tcPr>
          <w:p>
            <w:pPr>
              <w:framePr w:w="10733"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5"/>
              </w:rPr>
              <w:t>шт.</w:t>
            </w:r>
          </w:p>
        </w:tc>
        <w:tc>
          <w:tcPr>
            <w:shd w:val="clear" w:color="auto" w:fill="FFFFFF"/>
            <w:tcBorders>
              <w:left w:val="single" w:sz="4"/>
              <w:right w:val="single" w:sz="4"/>
              <w:top w:val="single" w:sz="4"/>
              <w:bottom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25"/>
              </w:rPr>
              <w:t>30</w:t>
            </w:r>
          </w:p>
        </w:tc>
      </w:tr>
    </w:tbl>
    <w:p>
      <w:pPr>
        <w:widowControl w:val="0"/>
        <w:rPr>
          <w:sz w:val="2"/>
          <w:szCs w:val="2"/>
        </w:rPr>
      </w:pPr>
    </w:p>
    <w:tbl>
      <w:tblPr>
        <w:tblOverlap w:val="never"/>
        <w:tblLayout w:type="fixed"/>
        <w:jc w:val="center"/>
      </w:tblPr>
      <w:tblGrid>
        <w:gridCol w:w="638"/>
        <w:gridCol w:w="1267"/>
        <w:gridCol w:w="1066"/>
        <w:gridCol w:w="1733"/>
        <w:gridCol w:w="1488"/>
        <w:gridCol w:w="1982"/>
        <w:gridCol w:w="1363"/>
        <w:gridCol w:w="576"/>
        <w:gridCol w:w="619"/>
      </w:tblGrid>
      <w:tr>
        <w:trPr>
          <w:trHeight w:val="514" w:hRule="exact"/>
        </w:trPr>
        <w:tc>
          <w:tcPr>
            <w:shd w:val="clear" w:color="auto" w:fill="FFFFFF"/>
            <w:vMerge w:val="restart"/>
            <w:tcBorders>
              <w:left w:val="single" w:sz="4"/>
              <w:top w:val="single" w:sz="4"/>
            </w:tcBorders>
            <w:vAlign w:val="top"/>
          </w:tcPr>
          <w:p>
            <w:pPr>
              <w:framePr w:w="10733"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гемодиализ</w:t>
            </w:r>
          </w:p>
          <w:p>
            <w:pPr>
              <w:pStyle w:val="Style10"/>
              <w:framePr w:w="10733"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25"/>
              </w:rPr>
              <w:t>а,</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имплантир</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уемый</w:t>
            </w:r>
          </w:p>
        </w:tc>
        <w:tc>
          <w:tcPr>
            <w:shd w:val="clear" w:color="auto" w:fill="FFFFFF"/>
            <w:vMerge w:val="restart"/>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ПО-</w:t>
            </w:r>
          </w:p>
          <w:p>
            <w:pPr>
              <w:pStyle w:val="Style10"/>
              <w:framePr w:w="10733"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00005196</w:t>
            </w: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25"/>
              </w:rPr>
              <w:t>Раздвоенный кончик катетера</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vMerge w:val="restart"/>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9"/>
              </w:rPr>
              <w:t>Соединенны</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9"/>
              </w:rPr>
              <w:t>е</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9"/>
              </w:rPr>
              <w:t>Штаты,</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9"/>
              </w:rPr>
              <w:t>Мексика,</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9"/>
              </w:rPr>
              <w:t>Германия,</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39"/>
              </w:rPr>
              <w:t>Польша</w:t>
            </w:r>
          </w:p>
        </w:tc>
        <w:tc>
          <w:tcPr>
            <w:shd w:val="clear" w:color="auto" w:fill="FFFFFF"/>
            <w:vMerge w:val="restart"/>
            <w:tcBorders>
              <w:left w:val="single" w:sz="4"/>
              <w:top w:val="single" w:sz="4"/>
            </w:tcBorders>
            <w:vAlign w:val="top"/>
          </w:tcPr>
          <w:p>
            <w:pPr>
              <w:framePr w:w="10733"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733" w:wrap="notBeside" w:vAnchor="text" w:hAnchor="text" w:xAlign="center" w:y="1"/>
              <w:widowControl w:val="0"/>
              <w:rPr>
                <w:sz w:val="10"/>
                <w:szCs w:val="10"/>
              </w:rPr>
            </w:pPr>
          </w:p>
        </w:tc>
      </w:tr>
      <w:tr>
        <w:trPr>
          <w:trHeight w:val="730" w:hRule="exact"/>
        </w:trPr>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left"/>
              <w:spacing w:before="0" w:after="120" w:line="190" w:lineRule="exact"/>
              <w:ind w:left="120" w:right="0" w:firstLine="0"/>
            </w:pPr>
            <w:r>
              <w:rPr>
                <w:rStyle w:val="CharStyle25"/>
              </w:rPr>
              <w:t>Внешний</w:t>
            </w:r>
          </w:p>
          <w:p>
            <w:pPr>
              <w:pStyle w:val="Style10"/>
              <w:framePr w:w="10733" w:wrap="notBeside" w:vAnchor="text" w:hAnchor="text" w:xAlign="center" w:y="1"/>
              <w:widowControl w:val="0"/>
              <w:keepNext w:val="0"/>
              <w:keepLines w:val="0"/>
              <w:shd w:val="clear" w:color="auto" w:fill="auto"/>
              <w:bidi w:val="0"/>
              <w:jc w:val="left"/>
              <w:spacing w:before="120" w:after="0" w:line="190" w:lineRule="exact"/>
              <w:ind w:left="120" w:right="0" w:firstLine="0"/>
            </w:pPr>
            <w:r>
              <w:rPr>
                <w:rStyle w:val="CharStyle25"/>
              </w:rPr>
              <w:t>диаметр</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 xml:space="preserve">Не менее 14 </w:t>
            </w:r>
            <w:r>
              <w:rPr>
                <w:rStyle w:val="CharStyle25"/>
                <w:lang w:val="en-US" w:eastAsia="en-US" w:bidi="en-US"/>
              </w:rPr>
              <w:t xml:space="preserve">Fr </w:t>
            </w:r>
            <w:r>
              <w:rPr>
                <w:rStyle w:val="CharStyle25"/>
              </w:rPr>
              <w:t xml:space="preserve">не более 15 </w:t>
            </w:r>
            <w:r>
              <w:rPr>
                <w:rStyle w:val="CharStyle25"/>
                <w:lang w:val="en-US" w:eastAsia="en-US" w:bidi="en-US"/>
              </w:rPr>
              <w:t>Fr</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14,5</w:t>
            </w: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right w:val="single" w:sz="4"/>
            </w:tcBorders>
            <w:vAlign w:val="top"/>
          </w:tcPr>
          <w:p>
            <w:pPr>
              <w:framePr w:w="10733" w:wrap="notBeside" w:vAnchor="text" w:hAnchor="text" w:xAlign="center" w:y="1"/>
            </w:pPr>
          </w:p>
        </w:tc>
      </w:tr>
      <w:tr>
        <w:trPr>
          <w:trHeight w:val="734" w:hRule="exact"/>
        </w:trPr>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5"/>
              </w:rPr>
              <w:t>Длина</w:t>
            </w: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5"/>
              </w:rPr>
              <w:t>Не менее 20 см не более 30 см</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27</w:t>
            </w: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right w:val="single" w:sz="4"/>
            </w:tcBorders>
            <w:vAlign w:val="top"/>
          </w:tcPr>
          <w:p>
            <w:pPr>
              <w:framePr w:w="10733" w:wrap="notBeside" w:vAnchor="text" w:hAnchor="text" w:xAlign="center" w:y="1"/>
            </w:pPr>
          </w:p>
        </w:tc>
      </w:tr>
      <w:tr>
        <w:trPr>
          <w:trHeight w:val="773" w:hRule="exact"/>
        </w:trPr>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Индивидуальная</w:t>
            </w:r>
          </w:p>
          <w:p>
            <w:pPr>
              <w:pStyle w:val="Style10"/>
              <w:framePr w:w="10733"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стерильная</w:t>
            </w:r>
          </w:p>
          <w:p>
            <w:pPr>
              <w:pStyle w:val="Style10"/>
              <w:framePr w:w="10733"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упаковка</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right w:val="single" w:sz="4"/>
            </w:tcBorders>
            <w:vAlign w:val="top"/>
          </w:tcPr>
          <w:p>
            <w:pPr>
              <w:framePr w:w="10733" w:wrap="notBeside" w:vAnchor="text" w:hAnchor="text" w:xAlign="center" w:y="1"/>
            </w:pPr>
          </w:p>
        </w:tc>
      </w:tr>
      <w:tr>
        <w:trPr>
          <w:trHeight w:val="485" w:hRule="exact"/>
        </w:trPr>
        <w:tc>
          <w:tcPr>
            <w:shd w:val="clear" w:color="auto" w:fill="FFFFFF"/>
            <w:vMerge w:val="restart"/>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right"/>
              <w:spacing w:before="0" w:after="0" w:line="190" w:lineRule="exact"/>
              <w:ind w:left="0" w:right="260" w:firstLine="0"/>
            </w:pPr>
            <w:r>
              <w:rPr>
                <w:rStyle w:val="CharStyle25"/>
              </w:rPr>
              <w:t>2</w:t>
            </w:r>
          </w:p>
        </w:tc>
        <w:tc>
          <w:tcPr>
            <w:shd w:val="clear" w:color="auto" w:fill="FFFFFF"/>
            <w:vMerge w:val="restart"/>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Катетер</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для</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гемодиализ</w:t>
            </w:r>
          </w:p>
          <w:p>
            <w:pPr>
              <w:pStyle w:val="Style10"/>
              <w:framePr w:w="10733"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25"/>
              </w:rPr>
              <w:t>а,</w:t>
            </w:r>
          </w:p>
          <w:p>
            <w:pPr>
              <w:pStyle w:val="Style10"/>
              <w:framePr w:w="10733" w:wrap="notBeside" w:vAnchor="text" w:hAnchor="text" w:xAlign="center" w:y="1"/>
              <w:widowControl w:val="0"/>
              <w:keepNext w:val="0"/>
              <w:keepLines w:val="0"/>
              <w:shd w:val="clear" w:color="auto" w:fill="auto"/>
              <w:bidi w:val="0"/>
              <w:jc w:val="center"/>
              <w:spacing w:before="60" w:after="60" w:line="190" w:lineRule="exact"/>
              <w:ind w:left="0" w:right="0" w:firstLine="0"/>
            </w:pPr>
            <w:r>
              <w:rPr>
                <w:rStyle w:val="CharStyle25"/>
              </w:rPr>
              <w:t>неимплант</w:t>
            </w:r>
          </w:p>
          <w:p>
            <w:pPr>
              <w:pStyle w:val="Style10"/>
              <w:framePr w:w="10733"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25"/>
              </w:rPr>
              <w:t>ируемый</w:t>
            </w:r>
          </w:p>
        </w:tc>
        <w:tc>
          <w:tcPr>
            <w:shd w:val="clear" w:color="auto" w:fill="FFFFFF"/>
            <w:vMerge w:val="restart"/>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32.50.13.</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110-</w:t>
            </w:r>
          </w:p>
          <w:p>
            <w:pPr>
              <w:pStyle w:val="Style10"/>
              <w:framePr w:w="10733"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25"/>
              </w:rPr>
              <w:t>00005195</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25"/>
              </w:rPr>
              <w:t>Материал</w:t>
            </w:r>
          </w:p>
          <w:p>
            <w:pPr>
              <w:pStyle w:val="Style10"/>
              <w:framePr w:w="10733"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25"/>
              </w:rPr>
              <w:t>катетера</w:t>
            </w: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Полиуретан</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Полиуретан</w:t>
            </w:r>
          </w:p>
        </w:tc>
        <w:tc>
          <w:tcPr>
            <w:shd w:val="clear" w:color="auto" w:fill="FFFFFF"/>
            <w:vMerge w:val="restart"/>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Соединенны</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е</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Штаты,</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Мексика,</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Германия,</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Китай,</w:t>
            </w:r>
          </w:p>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Польша</w:t>
            </w:r>
          </w:p>
        </w:tc>
        <w:tc>
          <w:tcPr>
            <w:shd w:val="clear" w:color="auto" w:fill="FFFFFF"/>
            <w:vMerge w:val="restart"/>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25"/>
              </w:rPr>
              <w:t>шт.</w:t>
            </w:r>
          </w:p>
        </w:tc>
        <w:tc>
          <w:tcPr>
            <w:shd w:val="clear" w:color="auto" w:fill="FFFFFF"/>
            <w:vMerge w:val="restart"/>
            <w:tcBorders>
              <w:left w:val="single" w:sz="4"/>
              <w:righ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0" w:line="190" w:lineRule="exact"/>
              <w:ind w:left="180" w:right="0" w:firstLine="0"/>
            </w:pPr>
            <w:r>
              <w:rPr>
                <w:rStyle w:val="CharStyle25"/>
              </w:rPr>
              <w:t>110</w:t>
            </w:r>
          </w:p>
        </w:tc>
      </w:tr>
      <w:tr>
        <w:trPr>
          <w:trHeight w:val="485" w:hRule="exact"/>
        </w:trPr>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5"/>
              </w:rPr>
              <w:t>Форма стержня катетера</w:t>
            </w: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Овальная</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Овальная</w:t>
            </w: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right w:val="single" w:sz="4"/>
            </w:tcBorders>
            <w:vAlign w:val="center"/>
          </w:tcPr>
          <w:p>
            <w:pPr>
              <w:framePr w:w="10733" w:wrap="notBeside" w:vAnchor="text" w:hAnchor="text" w:xAlign="center" w:y="1"/>
            </w:pPr>
          </w:p>
        </w:tc>
      </w:tr>
      <w:tr>
        <w:trPr>
          <w:trHeight w:val="706" w:hRule="exact"/>
        </w:trPr>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25"/>
              </w:rPr>
              <w:t>Внешний</w:t>
            </w:r>
          </w:p>
          <w:p>
            <w:pPr>
              <w:pStyle w:val="Style10"/>
              <w:framePr w:w="10733"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25"/>
              </w:rPr>
              <w:t>диаметр</w:t>
            </w: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5"/>
              </w:rPr>
              <w:t xml:space="preserve">Не менее 12 </w:t>
            </w:r>
            <w:r>
              <w:rPr>
                <w:rStyle w:val="CharStyle25"/>
                <w:lang w:val="en-US" w:eastAsia="en-US" w:bidi="en-US"/>
              </w:rPr>
              <w:t xml:space="preserve">Fr </w:t>
            </w:r>
            <w:r>
              <w:rPr>
                <w:rStyle w:val="CharStyle25"/>
              </w:rPr>
              <w:t xml:space="preserve">не более 14 </w:t>
            </w:r>
            <w:r>
              <w:rPr>
                <w:rStyle w:val="CharStyle25"/>
                <w:lang w:val="en-US" w:eastAsia="en-US" w:bidi="en-US"/>
              </w:rPr>
              <w:t>Fr</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13</w:t>
            </w: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right w:val="single" w:sz="4"/>
            </w:tcBorders>
            <w:vAlign w:val="center"/>
          </w:tcPr>
          <w:p>
            <w:pPr>
              <w:framePr w:w="10733" w:wrap="notBeside" w:vAnchor="text" w:hAnchor="text" w:xAlign="center" w:y="1"/>
            </w:pPr>
          </w:p>
        </w:tc>
      </w:tr>
      <w:tr>
        <w:trPr>
          <w:trHeight w:val="744" w:hRule="exact"/>
        </w:trPr>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tcBorders>
              <w:left w:val="single" w:sz="4"/>
              <w:top w:val="single" w:sz="4"/>
            </w:tcBorders>
            <w:vAlign w:val="center"/>
          </w:tcPr>
          <w:p>
            <w:pPr>
              <w:pStyle w:val="Style10"/>
              <w:framePr w:w="1073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5"/>
              </w:rPr>
              <w:t>Длина</w:t>
            </w:r>
          </w:p>
        </w:tc>
        <w:tc>
          <w:tcPr>
            <w:shd w:val="clear" w:color="auto" w:fill="FFFFFF"/>
            <w:tcBorders>
              <w:left w:val="single" w:sz="4"/>
              <w:top w:val="single" w:sz="4"/>
            </w:tcBorders>
            <w:vAlign w:val="bottom"/>
          </w:tcPr>
          <w:p>
            <w:pPr>
              <w:pStyle w:val="Style10"/>
              <w:framePr w:w="10733"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25"/>
              </w:rPr>
              <w:t>Не менее 15 см не более 21 см</w:t>
            </w:r>
          </w:p>
        </w:tc>
        <w:tc>
          <w:tcPr>
            <w:shd w:val="clear" w:color="auto" w:fill="FFFFFF"/>
            <w:tcBorders>
              <w:left w:val="single" w:sz="4"/>
              <w:top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20</w:t>
            </w:r>
          </w:p>
        </w:tc>
        <w:tc>
          <w:tcPr>
            <w:shd w:val="clear" w:color="auto" w:fill="FFFFFF"/>
            <w:vMerge/>
            <w:tcBorders>
              <w:left w:val="single" w:sz="4"/>
            </w:tcBorders>
            <w:vAlign w:val="top"/>
          </w:tcPr>
          <w:p>
            <w:pPr>
              <w:framePr w:w="10733" w:wrap="notBeside" w:vAnchor="text" w:hAnchor="text" w:xAlign="center" w:y="1"/>
            </w:pPr>
          </w:p>
        </w:tc>
        <w:tc>
          <w:tcPr>
            <w:shd w:val="clear" w:color="auto" w:fill="FFFFFF"/>
            <w:vMerge/>
            <w:tcBorders>
              <w:left w:val="single" w:sz="4"/>
            </w:tcBorders>
            <w:vAlign w:val="center"/>
          </w:tcPr>
          <w:p>
            <w:pPr>
              <w:framePr w:w="10733" w:wrap="notBeside" w:vAnchor="text" w:hAnchor="text" w:xAlign="center" w:y="1"/>
            </w:pPr>
          </w:p>
        </w:tc>
        <w:tc>
          <w:tcPr>
            <w:shd w:val="clear" w:color="auto" w:fill="FFFFFF"/>
            <w:vMerge/>
            <w:tcBorders>
              <w:left w:val="single" w:sz="4"/>
              <w:right w:val="single" w:sz="4"/>
            </w:tcBorders>
            <w:vAlign w:val="center"/>
          </w:tcPr>
          <w:p>
            <w:pPr>
              <w:framePr w:w="10733" w:wrap="notBeside" w:vAnchor="text" w:hAnchor="text" w:xAlign="center" w:y="1"/>
            </w:pPr>
          </w:p>
        </w:tc>
      </w:tr>
      <w:tr>
        <w:trPr>
          <w:trHeight w:val="763" w:hRule="exact"/>
        </w:trPr>
        <w:tc>
          <w:tcPr>
            <w:shd w:val="clear" w:color="auto" w:fill="FFFFFF"/>
            <w:vMerge/>
            <w:tcBorders>
              <w:left w:val="single" w:sz="4"/>
              <w:bottom w:val="single" w:sz="4"/>
            </w:tcBorders>
            <w:vAlign w:val="center"/>
          </w:tcPr>
          <w:p>
            <w:pPr>
              <w:framePr w:w="10733" w:wrap="notBeside" w:vAnchor="text" w:hAnchor="text" w:xAlign="center" w:y="1"/>
            </w:pPr>
          </w:p>
        </w:tc>
        <w:tc>
          <w:tcPr>
            <w:shd w:val="clear" w:color="auto" w:fill="FFFFFF"/>
            <w:vMerge/>
            <w:tcBorders>
              <w:left w:val="single" w:sz="4"/>
              <w:bottom w:val="single" w:sz="4"/>
            </w:tcBorders>
            <w:vAlign w:val="center"/>
          </w:tcPr>
          <w:p>
            <w:pPr>
              <w:framePr w:w="10733" w:wrap="notBeside" w:vAnchor="text" w:hAnchor="text" w:xAlign="center" w:y="1"/>
            </w:pPr>
          </w:p>
        </w:tc>
        <w:tc>
          <w:tcPr>
            <w:shd w:val="clear" w:color="auto" w:fill="FFFFFF"/>
            <w:vMerge/>
            <w:tcBorders>
              <w:left w:val="single" w:sz="4"/>
              <w:bottom w:val="single" w:sz="4"/>
            </w:tcBorders>
            <w:vAlign w:val="center"/>
          </w:tcPr>
          <w:p>
            <w:pPr>
              <w:framePr w:w="10733" w:wrap="notBeside" w:vAnchor="text" w:hAnchor="text" w:xAlign="center" w:y="1"/>
            </w:pPr>
          </w:p>
        </w:tc>
        <w:tc>
          <w:tcPr>
            <w:shd w:val="clear" w:color="auto" w:fill="FFFFFF"/>
            <w:tcBorders>
              <w:left w:val="single" w:sz="4"/>
              <w:top w:val="single" w:sz="4"/>
              <w:bottom w:val="single" w:sz="4"/>
            </w:tcBorders>
            <w:vAlign w:val="bottom"/>
          </w:tcPr>
          <w:p>
            <w:pPr>
              <w:pStyle w:val="Style10"/>
              <w:framePr w:w="10733"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Индивидуальная</w:t>
            </w:r>
          </w:p>
          <w:p>
            <w:pPr>
              <w:pStyle w:val="Style10"/>
              <w:framePr w:w="10733"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стерильная</w:t>
            </w:r>
          </w:p>
          <w:p>
            <w:pPr>
              <w:pStyle w:val="Style10"/>
              <w:framePr w:w="10733"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5"/>
              </w:rPr>
              <w:t>упаковка</w:t>
            </w:r>
          </w:p>
        </w:tc>
        <w:tc>
          <w:tcPr>
            <w:shd w:val="clear" w:color="auto" w:fill="FFFFFF"/>
            <w:tcBorders>
              <w:left w:val="single" w:sz="4"/>
              <w:top w:val="single" w:sz="4"/>
              <w:bottom w:val="single" w:sz="4"/>
            </w:tcBorders>
            <w:vAlign w:val="center"/>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tcBorders>
              <w:left w:val="single" w:sz="4"/>
              <w:top w:val="single" w:sz="4"/>
              <w:bottom w:val="single" w:sz="4"/>
            </w:tcBorders>
            <w:vAlign w:val="top"/>
          </w:tcPr>
          <w:p>
            <w:pPr>
              <w:pStyle w:val="Style10"/>
              <w:framePr w:w="1073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5"/>
              </w:rPr>
              <w:t>Наличие</w:t>
            </w:r>
          </w:p>
        </w:tc>
        <w:tc>
          <w:tcPr>
            <w:shd w:val="clear" w:color="auto" w:fill="FFFFFF"/>
            <w:vMerge/>
            <w:tcBorders>
              <w:left w:val="single" w:sz="4"/>
              <w:bottom w:val="single" w:sz="4"/>
            </w:tcBorders>
            <w:vAlign w:val="top"/>
          </w:tcPr>
          <w:p>
            <w:pPr>
              <w:framePr w:w="10733" w:wrap="notBeside" w:vAnchor="text" w:hAnchor="text" w:xAlign="center" w:y="1"/>
            </w:pPr>
          </w:p>
        </w:tc>
        <w:tc>
          <w:tcPr>
            <w:shd w:val="clear" w:color="auto" w:fill="FFFFFF"/>
            <w:vMerge/>
            <w:tcBorders>
              <w:left w:val="single" w:sz="4"/>
              <w:bottom w:val="single" w:sz="4"/>
            </w:tcBorders>
            <w:vAlign w:val="center"/>
          </w:tcPr>
          <w:p>
            <w:pPr>
              <w:framePr w:w="10733" w:wrap="notBeside" w:vAnchor="text" w:hAnchor="text" w:xAlign="center" w:y="1"/>
            </w:pPr>
          </w:p>
        </w:tc>
        <w:tc>
          <w:tcPr>
            <w:shd w:val="clear" w:color="auto" w:fill="FFFFFF"/>
            <w:vMerge/>
            <w:tcBorders>
              <w:left w:val="single" w:sz="4"/>
              <w:right w:val="single" w:sz="4"/>
              <w:bottom w:val="single" w:sz="4"/>
            </w:tcBorders>
            <w:vAlign w:val="center"/>
          </w:tcPr>
          <w:p>
            <w:pPr>
              <w:framePr w:w="10733" w:wrap="notBeside" w:vAnchor="text" w:hAnchor="text" w:xAlign="center" w:y="1"/>
            </w:pPr>
          </w:p>
        </w:tc>
      </w:tr>
    </w:tbl>
    <w:p>
      <w:pPr>
        <w:widowControl w:val="0"/>
        <w:rPr>
          <w:sz w:val="2"/>
          <w:szCs w:val="2"/>
        </w:rPr>
      </w:pPr>
    </w:p>
    <w:p>
      <w:pPr>
        <w:pStyle w:val="Style10"/>
        <w:widowControl w:val="0"/>
        <w:keepNext w:val="0"/>
        <w:keepLines w:val="0"/>
        <w:shd w:val="clear" w:color="auto" w:fill="auto"/>
        <w:bidi w:val="0"/>
        <w:spacing w:before="190" w:after="0" w:line="278" w:lineRule="exact"/>
        <w:ind w:left="260" w:right="260" w:firstLine="560"/>
      </w:pPr>
      <w:r>
        <w:rPr>
          <w:lang w:val="ru-RU" w:eastAsia="ru-RU" w:bidi="ru-RU"/>
          <w:w w:val="100"/>
          <w:spacing w:val="0"/>
          <w:color w:val="000000"/>
          <w:position w:val="0"/>
        </w:rPr>
        <w:t>Согласно части 4 статьи 67 Закона участник электронного аукциона не допускается к участию в нем в случае:</w:t>
      </w:r>
    </w:p>
    <w:p>
      <w:pPr>
        <w:pStyle w:val="Style10"/>
        <w:numPr>
          <w:ilvl w:val="0"/>
          <w:numId w:val="11"/>
        </w:numPr>
        <w:widowControl w:val="0"/>
        <w:keepNext w:val="0"/>
        <w:keepLines w:val="0"/>
        <w:shd w:val="clear" w:color="auto" w:fill="auto"/>
        <w:bidi w:val="0"/>
        <w:spacing w:before="0" w:after="0" w:line="278" w:lineRule="exact"/>
        <w:ind w:left="260" w:right="260" w:firstLine="56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0"/>
        <w:numPr>
          <w:ilvl w:val="0"/>
          <w:numId w:val="11"/>
        </w:numPr>
        <w:widowControl w:val="0"/>
        <w:keepNext w:val="0"/>
        <w:keepLines w:val="0"/>
        <w:shd w:val="clear" w:color="auto" w:fill="auto"/>
        <w:bidi w:val="0"/>
        <w:spacing w:before="0" w:after="0" w:line="278" w:lineRule="exact"/>
        <w:ind w:left="260" w:right="260" w:firstLine="56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0"/>
        <w:widowControl w:val="0"/>
        <w:keepNext w:val="0"/>
        <w:keepLines w:val="0"/>
        <w:shd w:val="clear" w:color="auto" w:fill="auto"/>
        <w:bidi w:val="0"/>
        <w:spacing w:before="0" w:after="0" w:line="278" w:lineRule="exact"/>
        <w:ind w:left="260" w:right="260" w:firstLine="560"/>
      </w:pPr>
      <w:r>
        <w:rPr>
          <w:lang w:val="ru-RU" w:eastAsia="ru-RU" w:bidi="ru-RU"/>
          <w:w w:val="100"/>
          <w:spacing w:val="0"/>
          <w:color w:val="000000"/>
          <w:position w:val="0"/>
        </w:rPr>
        <w:t>Таким образом, Комиссия Заказчика правомерно отказала Заявителю в допуске его заявки на участие в Аукционе, поскольку указание участником закупки (ООО «Астермедика») в своей заявке числовых значений без единиц измерения, является нарушением положений аукционной документации.</w:t>
      </w:r>
    </w:p>
    <w:p>
      <w:pPr>
        <w:pStyle w:val="Style10"/>
        <w:widowControl w:val="0"/>
        <w:keepNext w:val="0"/>
        <w:keepLines w:val="0"/>
        <w:shd w:val="clear" w:color="auto" w:fill="auto"/>
        <w:bidi w:val="0"/>
        <w:spacing w:before="0" w:after="0" w:line="278" w:lineRule="exact"/>
        <w:ind w:left="260" w:right="260" w:firstLine="560"/>
      </w:pPr>
      <w:r>
        <w:rPr>
          <w:lang w:val="ru-RU" w:eastAsia="ru-RU" w:bidi="ru-RU"/>
          <w:w w:val="100"/>
          <w:spacing w:val="0"/>
          <w:color w:val="000000"/>
          <w:position w:val="0"/>
        </w:rPr>
        <w:t>На основании изложенного, Комиссия Орловского У ФАС России приходит к выводу, что действия аукционной комиссии Заказчика не противоречат требованиям Закона, следовательно, довод Заявителя не нашел своего подтверждения.</w:t>
      </w:r>
    </w:p>
    <w:p>
      <w:pPr>
        <w:pStyle w:val="Style10"/>
        <w:widowControl w:val="0"/>
        <w:keepNext w:val="0"/>
        <w:keepLines w:val="0"/>
        <w:shd w:val="clear" w:color="auto" w:fill="auto"/>
        <w:bidi w:val="0"/>
        <w:spacing w:before="0" w:after="0" w:line="278" w:lineRule="exact"/>
        <w:ind w:left="260" w:right="260" w:firstLine="560"/>
      </w:pPr>
      <w:r>
        <w:rPr>
          <w:lang w:val="ru-RU" w:eastAsia="ru-RU" w:bidi="ru-RU"/>
          <w:w w:val="100"/>
          <w:spacing w:val="0"/>
          <w:color w:val="000000"/>
          <w:position w:val="0"/>
        </w:rPr>
        <w:t>Руководствуясь частью 8 статьи 106 Закона, пунктом 3.38 Административного регламента, Комиссия</w:t>
      </w:r>
    </w:p>
    <w:p>
      <w:pPr>
        <w:pStyle w:val="Style40"/>
        <w:widowControl w:val="0"/>
        <w:keepNext w:val="0"/>
        <w:keepLines w:val="0"/>
        <w:shd w:val="clear" w:color="auto" w:fill="auto"/>
        <w:bidi w:val="0"/>
        <w:jc w:val="left"/>
        <w:spacing w:before="0" w:after="0"/>
        <w:ind w:left="5040" w:right="0" w:firstLine="0"/>
      </w:pPr>
      <w:r>
        <w:rPr>
          <w:lang w:val="ru-RU" w:eastAsia="ru-RU" w:bidi="ru-RU"/>
          <w:w w:val="100"/>
          <w:color w:val="000000"/>
          <w:position w:val="0"/>
        </w:rPr>
        <w:t>РЕШИЛА:</w:t>
      </w:r>
    </w:p>
    <w:p>
      <w:pPr>
        <w:pStyle w:val="Style10"/>
        <w:numPr>
          <w:ilvl w:val="0"/>
          <w:numId w:val="13"/>
        </w:numPr>
        <w:widowControl w:val="0"/>
        <w:keepNext w:val="0"/>
        <w:keepLines w:val="0"/>
        <w:shd w:val="clear" w:color="auto" w:fill="auto"/>
        <w:bidi w:val="0"/>
        <w:spacing w:before="0" w:after="0" w:line="278" w:lineRule="exact"/>
        <w:ind w:left="260" w:right="0" w:firstLine="560"/>
      </w:pPr>
      <w:r>
        <w:rPr>
          <w:lang w:val="ru-RU" w:eastAsia="ru-RU" w:bidi="ru-RU"/>
          <w:w w:val="100"/>
          <w:spacing w:val="0"/>
          <w:color w:val="000000"/>
          <w:position w:val="0"/>
        </w:rPr>
        <w:t xml:space="preserve"> Жалобу ООО «Астермедика» признать необоснованной.</w:t>
      </w:r>
    </w:p>
    <w:p>
      <w:pPr>
        <w:pStyle w:val="Style10"/>
        <w:numPr>
          <w:ilvl w:val="0"/>
          <w:numId w:val="13"/>
        </w:numPr>
        <w:widowControl w:val="0"/>
        <w:keepNext w:val="0"/>
        <w:keepLines w:val="0"/>
        <w:shd w:val="clear" w:color="auto" w:fill="auto"/>
        <w:bidi w:val="0"/>
        <w:spacing w:before="0" w:after="321" w:line="278" w:lineRule="exact"/>
        <w:ind w:left="260" w:right="0" w:firstLine="56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10"/>
        <w:widowControl w:val="0"/>
        <w:keepNext w:val="0"/>
        <w:keepLines w:val="0"/>
        <w:shd w:val="clear" w:color="auto" w:fill="auto"/>
        <w:bidi w:val="0"/>
        <w:jc w:val="left"/>
        <w:spacing w:before="0" w:after="794" w:line="552" w:lineRule="exact"/>
        <w:ind w:left="0" w:right="2500" w:firstLine="0"/>
      </w:pPr>
      <w:r>
        <w:rPr>
          <w:lang w:val="ru-RU" w:eastAsia="ru-RU" w:bidi="ru-RU"/>
          <w:w w:val="100"/>
          <w:spacing w:val="0"/>
          <w:color w:val="000000"/>
          <w:position w:val="0"/>
        </w:rPr>
        <w:t>Председатель Комиссии: Члены Комиссии:</w:t>
      </w:r>
    </w:p>
    <w:p>
      <w:pPr>
        <w:pStyle w:val="Style14"/>
        <w:widowControl w:val="0"/>
        <w:keepNext w:val="0"/>
        <w:keepLines w:val="0"/>
        <w:shd w:val="clear" w:color="auto" w:fill="auto"/>
        <w:bidi w:val="0"/>
        <w:jc w:val="left"/>
        <w:spacing w:before="0" w:after="0" w:line="235" w:lineRule="exact"/>
        <w:ind w:left="260" w:right="260" w:firstLine="70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6" w:h="16838"/>
      <w:pgMar w:top="986" w:left="834" w:right="253" w:bottom="6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11.%1"/>
      <w:rPr>
        <w:lang w:val="ru-RU" w:eastAsia="ru-RU" w:bidi="ru-RU"/>
        <w:b w:val="0"/>
        <w:bCs w:val="0"/>
        <w:i w:val="0"/>
        <w:iCs w:val="0"/>
        <w:u w:val="singl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iCs/>
        <w:u w:val="none"/>
        <w:strike w:val="0"/>
        <w:smallCaps w:val="0"/>
        <w:sz w:val="8"/>
        <w:szCs w:val="8"/>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7"/>
    </w:rPr>
  </w:style>
  <w:style w:type="character" w:customStyle="1" w:styleId="CharStyle5">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4)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w:basedOn w:val="CharStyle11"/>
    <w:rPr>
      <w:lang w:val="ru-RU" w:eastAsia="ru-RU" w:bidi="ru-RU"/>
      <w:u w:val="single"/>
      <w:w w:val="100"/>
      <w:spacing w:val="0"/>
      <w:color w:val="000000"/>
      <w:position w:val="0"/>
    </w:rPr>
  </w:style>
  <w:style w:type="character" w:customStyle="1" w:styleId="CharStyle13">
    <w:name w:val="Основной текст"/>
    <w:basedOn w:val="CharStyle11"/>
    <w:rPr>
      <w:lang w:val="ru-RU" w:eastAsia="ru-RU" w:bidi="ru-RU"/>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6)_"/>
    <w:basedOn w:val="DefaultParagraphFont"/>
    <w:link w:val="Style16"/>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8"/>
    </w:rPr>
  </w:style>
  <w:style w:type="character" w:customStyle="1" w:styleId="CharStyle19">
    <w:name w:val="Основной текст + 12 pt"/>
    <w:basedOn w:val="CharStyle11"/>
    <w:rPr>
      <w:lang w:val="ru-RU" w:eastAsia="ru-RU" w:bidi="ru-RU"/>
      <w:sz w:val="24"/>
      <w:szCs w:val="24"/>
      <w:w w:val="100"/>
      <w:spacing w:val="0"/>
      <w:color w:val="000000"/>
      <w:position w:val="0"/>
    </w:rPr>
  </w:style>
  <w:style w:type="character" w:customStyle="1" w:styleId="CharStyle20">
    <w:name w:val="Основной текст + Интервал 3 pt"/>
    <w:basedOn w:val="CharStyle11"/>
    <w:rPr>
      <w:lang w:val="ru-RU" w:eastAsia="ru-RU" w:bidi="ru-RU"/>
      <w:w w:val="100"/>
      <w:spacing w:val="70"/>
      <w:color w:val="000000"/>
      <w:position w:val="0"/>
    </w:rPr>
  </w:style>
  <w:style w:type="character" w:customStyle="1" w:styleId="CharStyle21">
    <w:name w:val="Основной текст + Полужирный"/>
    <w:basedOn w:val="CharStyle11"/>
    <w:rPr>
      <w:lang w:val="ru-RU" w:eastAsia="ru-RU" w:bidi="ru-RU"/>
      <w:b/>
      <w:bCs/>
      <w:w w:val="100"/>
      <w:spacing w:val="0"/>
      <w:color w:val="000000"/>
      <w:position w:val="0"/>
    </w:rPr>
  </w:style>
  <w:style w:type="character" w:customStyle="1" w:styleId="CharStyle23">
    <w:name w:val="Основной текст (7)_"/>
    <w:basedOn w:val="DefaultParagraphFont"/>
    <w:link w:val="Style22"/>
    <w:rPr>
      <w:b w:val="0"/>
      <w:bCs w:val="0"/>
      <w:i/>
      <w:iCs/>
      <w:u w:val="none"/>
      <w:strike w:val="0"/>
      <w:smallCaps w:val="0"/>
      <w:sz w:val="26"/>
      <w:szCs w:val="26"/>
      <w:rFonts w:ascii="Times New Roman" w:eastAsia="Times New Roman" w:hAnsi="Times New Roman" w:cs="Times New Roman"/>
    </w:rPr>
  </w:style>
  <w:style w:type="character" w:customStyle="1" w:styleId="CharStyle24">
    <w:name w:val="Основной текст + 11 pt,Полужирный"/>
    <w:basedOn w:val="CharStyle11"/>
    <w:rPr>
      <w:lang w:val="ru-RU" w:eastAsia="ru-RU" w:bidi="ru-RU"/>
      <w:b/>
      <w:bCs/>
      <w:sz w:val="22"/>
      <w:szCs w:val="22"/>
      <w:w w:val="100"/>
      <w:spacing w:val="0"/>
      <w:color w:val="000000"/>
      <w:position w:val="0"/>
    </w:rPr>
  </w:style>
  <w:style w:type="character" w:customStyle="1" w:styleId="CharStyle25">
    <w:name w:val="Основной текст + 9,5 pt"/>
    <w:basedOn w:val="CharStyle11"/>
    <w:rPr>
      <w:lang w:val="ru-RU" w:eastAsia="ru-RU" w:bidi="ru-RU"/>
      <w:sz w:val="19"/>
      <w:szCs w:val="19"/>
      <w:w w:val="100"/>
      <w:spacing w:val="0"/>
      <w:color w:val="000000"/>
      <w:position w:val="0"/>
    </w:rPr>
  </w:style>
  <w:style w:type="character" w:customStyle="1" w:styleId="CharStyle26">
    <w:name w:val="Основной текст"/>
    <w:basedOn w:val="CharStyle11"/>
    <w:rPr>
      <w:lang w:val="ru-RU" w:eastAsia="ru-RU" w:bidi="ru-RU"/>
      <w:w w:val="100"/>
      <w:spacing w:val="0"/>
      <w:color w:val="000000"/>
      <w:position w:val="0"/>
    </w:rPr>
  </w:style>
  <w:style w:type="character" w:customStyle="1" w:styleId="CharStyle27">
    <w:name w:val="Основной текст"/>
    <w:basedOn w:val="CharStyle11"/>
    <w:rPr>
      <w:lang w:val="ru-RU" w:eastAsia="ru-RU" w:bidi="ru-RU"/>
      <w:w w:val="100"/>
      <w:spacing w:val="0"/>
      <w:color w:val="000000"/>
      <w:position w:val="0"/>
    </w:rPr>
  </w:style>
  <w:style w:type="character" w:customStyle="1" w:styleId="CharStyle28">
    <w:name w:val="Основной текст + Курсив"/>
    <w:basedOn w:val="CharStyle11"/>
    <w:rPr>
      <w:lang w:val="ru-RU" w:eastAsia="ru-RU" w:bidi="ru-RU"/>
      <w:i/>
      <w:iCs/>
      <w:w w:val="100"/>
      <w:spacing w:val="0"/>
      <w:color w:val="000000"/>
      <w:position w:val="0"/>
    </w:rPr>
  </w:style>
  <w:style w:type="character" w:customStyle="1" w:styleId="CharStyle30">
    <w:name w:val="Основной текст (8)_"/>
    <w:basedOn w:val="DefaultParagraphFont"/>
    <w:link w:val="Style29"/>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8)"/>
    <w:basedOn w:val="CharStyle30"/>
    <w:rPr>
      <w:lang w:val="ru-RU" w:eastAsia="ru-RU" w:bidi="ru-RU"/>
      <w:u w:val="single"/>
      <w:w w:val="100"/>
      <w:spacing w:val="0"/>
      <w:color w:val="000000"/>
      <w:position w:val="0"/>
    </w:rPr>
  </w:style>
  <w:style w:type="character" w:customStyle="1" w:styleId="CharStyle32">
    <w:name w:val="Основной текст (8) + 11 pt,Полужирный,Не курсив"/>
    <w:basedOn w:val="CharStyle30"/>
    <w:rPr>
      <w:lang w:val="1024"/>
      <w:b/>
      <w:bCs/>
      <w:i/>
      <w:iCs/>
      <w:sz w:val="22"/>
      <w:szCs w:val="22"/>
      <w:w w:val="100"/>
      <w:spacing w:val="0"/>
      <w:color w:val="000000"/>
      <w:position w:val="0"/>
    </w:rPr>
  </w:style>
  <w:style w:type="character" w:customStyle="1" w:styleId="CharStyle33">
    <w:name w:val="Основной текст + Полужирный"/>
    <w:basedOn w:val="CharStyle11"/>
    <w:rPr>
      <w:lang w:val="ru-RU" w:eastAsia="ru-RU" w:bidi="ru-RU"/>
      <w:b/>
      <w:bCs/>
      <w:u w:val="single"/>
      <w:w w:val="100"/>
      <w:spacing w:val="0"/>
      <w:color w:val="000000"/>
      <w:position w:val="0"/>
    </w:rPr>
  </w:style>
  <w:style w:type="character" w:customStyle="1" w:styleId="CharStyle34">
    <w:name w:val="Основной текст + 4 pt,Курсив"/>
    <w:basedOn w:val="CharStyle11"/>
    <w:rPr>
      <w:lang w:val="ru-RU" w:eastAsia="ru-RU" w:bidi="ru-RU"/>
      <w:i/>
      <w:iCs/>
      <w:sz w:val="8"/>
      <w:szCs w:val="8"/>
      <w:w w:val="100"/>
      <w:spacing w:val="0"/>
      <w:color w:val="000000"/>
      <w:position w:val="0"/>
    </w:rPr>
  </w:style>
  <w:style w:type="character" w:customStyle="1" w:styleId="CharStyle36">
    <w:name w:val="Подпись к таблице_"/>
    <w:basedOn w:val="DefaultParagraphFont"/>
    <w:link w:val="Style35"/>
    <w:rPr>
      <w:b w:val="0"/>
      <w:bCs w:val="0"/>
      <w:i w:val="0"/>
      <w:iCs w:val="0"/>
      <w:u w:val="none"/>
      <w:strike w:val="0"/>
      <w:smallCaps w:val="0"/>
      <w:sz w:val="23"/>
      <w:szCs w:val="23"/>
      <w:rFonts w:ascii="Times New Roman" w:eastAsia="Times New Roman" w:hAnsi="Times New Roman" w:cs="Times New Roman"/>
    </w:rPr>
  </w:style>
  <w:style w:type="character" w:customStyle="1" w:styleId="CharStyle37">
    <w:name w:val="Подпись к таблице"/>
    <w:basedOn w:val="CharStyle36"/>
    <w:rPr>
      <w:lang w:val="ru-RU" w:eastAsia="ru-RU" w:bidi="ru-RU"/>
      <w:u w:val="single"/>
      <w:w w:val="100"/>
      <w:spacing w:val="0"/>
      <w:color w:val="000000"/>
      <w:position w:val="0"/>
    </w:rPr>
  </w:style>
  <w:style w:type="character" w:customStyle="1" w:styleId="CharStyle38">
    <w:name w:val="Основной текст + Lucida Sans Unicode,6,5 pt"/>
    <w:basedOn w:val="CharStyle11"/>
    <w:rPr>
      <w:lang w:val="ru-RU" w:eastAsia="ru-RU" w:bidi="ru-RU"/>
      <w:sz w:val="13"/>
      <w:szCs w:val="13"/>
      <w:rFonts w:ascii="Lucida Sans Unicode" w:eastAsia="Lucida Sans Unicode" w:hAnsi="Lucida Sans Unicode" w:cs="Lucida Sans Unicode"/>
      <w:w w:val="100"/>
      <w:spacing w:val="0"/>
      <w:color w:val="000000"/>
      <w:position w:val="0"/>
    </w:rPr>
  </w:style>
  <w:style w:type="character" w:customStyle="1" w:styleId="CharStyle39">
    <w:name w:val="Основной текст + 9,5 pt,Курсив"/>
    <w:basedOn w:val="CharStyle11"/>
    <w:rPr>
      <w:lang w:val="ru-RU" w:eastAsia="ru-RU" w:bidi="ru-RU"/>
      <w:i/>
      <w:iCs/>
      <w:sz w:val="19"/>
      <w:szCs w:val="19"/>
      <w:w w:val="100"/>
      <w:spacing w:val="0"/>
      <w:color w:val="000000"/>
      <w:position w:val="0"/>
    </w:rPr>
  </w:style>
  <w:style w:type="character" w:customStyle="1" w:styleId="CharStyle41">
    <w:name w:val="Основной текст (9)_"/>
    <w:basedOn w:val="DefaultParagraphFont"/>
    <w:link w:val="Style40"/>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3">
    <w:name w:val="Основной текст (2)"/>
    <w:basedOn w:val="Normal"/>
    <w:link w:val="CharStyle5"/>
    <w:pPr>
      <w:widowControl w:val="0"/>
      <w:shd w:val="clear" w:color="auto" w:fill="FFFFFF"/>
      <w:jc w:val="center"/>
      <w:spacing w:before="120" w:after="120" w:line="250"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before="120" w:after="24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240" w:after="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before="24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center"/>
      <w:spacing w:after="60" w:line="0"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22">
    <w:name w:val="Основной текст (7)"/>
    <w:basedOn w:val="Normal"/>
    <w:link w:val="CharStyle23"/>
    <w:pPr>
      <w:widowControl w:val="0"/>
      <w:shd w:val="clear" w:color="auto" w:fill="FFFFFF"/>
      <w:jc w:val="both"/>
      <w:spacing w:line="293" w:lineRule="exact"/>
      <w:ind w:firstLine="580"/>
    </w:pPr>
    <w:rPr>
      <w:b w:val="0"/>
      <w:bCs w:val="0"/>
      <w:i/>
      <w:iCs/>
      <w:u w:val="none"/>
      <w:strike w:val="0"/>
      <w:smallCaps w:val="0"/>
      <w:sz w:val="26"/>
      <w:szCs w:val="26"/>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after="300" w:line="269" w:lineRule="exact"/>
    </w:pPr>
    <w:rPr>
      <w:b w:val="0"/>
      <w:bCs w:val="0"/>
      <w:i/>
      <w:iCs/>
      <w:u w:val="none"/>
      <w:strike w:val="0"/>
      <w:smallCaps w:val="0"/>
      <w:sz w:val="23"/>
      <w:szCs w:val="23"/>
      <w:rFonts w:ascii="Times New Roman" w:eastAsia="Times New Roman" w:hAnsi="Times New Roman" w:cs="Times New Roman"/>
    </w:rPr>
  </w:style>
  <w:style w:type="paragraph" w:customStyle="1" w:styleId="Style35">
    <w:name w:val="Подпись к таблице"/>
    <w:basedOn w:val="Normal"/>
    <w:link w:val="CharStyle36"/>
    <w:pPr>
      <w:widowControl w:val="0"/>
      <w:shd w:val="clear" w:color="auto" w:fill="FFFFFF"/>
      <w:spacing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40">
    <w:name w:val="Основной текст (9)"/>
    <w:basedOn w:val="Normal"/>
    <w:link w:val="CharStyle41"/>
    <w:pPr>
      <w:widowControl w:val="0"/>
      <w:shd w:val="clear" w:color="auto" w:fill="FFFFFF"/>
      <w:spacing w:line="278" w:lineRule="exact"/>
    </w:pPr>
    <w:rPr>
      <w:b w:val="0"/>
      <w:bCs w:val="0"/>
      <w:i w:val="0"/>
      <w:iCs w:val="0"/>
      <w:u w:val="none"/>
      <w:strike w:val="0"/>
      <w:smallCaps w:val="0"/>
      <w:sz w:val="22"/>
      <w:szCs w:val="22"/>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