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государственного авиационного надзора и надзора за обеспечением транспортной безопасности по Уральскому федеральному округу Федеральной службы по надзору в сфере транспорта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(УГ АН НОТБ УФО Ространснадзора)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37" w:left="6116" w:right="1086" w:bottom="91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widowControl w:val="0"/>
        <w:spacing w:line="90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69"/>
        <w:ind w:left="0" w:right="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Федеральной антимонопольной службы по Свердловской области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Московская, 11, г. Екатеринбург, 620014 тел. (343) 377-00-83, факс (343) 377-00-84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to66@fas.gov.ru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0" w:line="1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Петрова Екатерина Александровна </w:t>
      </w:r>
      <w:r>
        <w:rPr>
          <w:rStyle w:val="CharStyle7"/>
        </w:rPr>
        <w:t>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 АСТ»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0" w:firstLine="0"/>
        <w:sectPr>
          <w:type w:val="continuous"/>
          <w:pgSz w:w="11906" w:h="16838"/>
          <w:pgMar w:top="937" w:left="1705" w:right="1979" w:bottom="918" w:header="0" w:footer="3" w:gutter="0"/>
          <w:rtlGutter w:val="0"/>
          <w:cols w:num="2" w:space="720" w:equalWidth="0">
            <w:col w:w="3792" w:space="1430"/>
            <w:col w:w="300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tabs>
          <w:tab w:leader="none" w:pos="953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12" w:line="230" w:lineRule="exact"/>
        <w:ind w:left="240" w:right="140" w:firstLine="41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по жалобе № </w:t>
      </w:r>
      <w:r>
        <w:rPr>
          <w:rStyle w:val="CharStyle10"/>
        </w:rPr>
        <w:t xml:space="preserve">066/06/106-3972/2021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11.11.2021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9" w:line="19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15-30, при участии представителей: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УГ АН НОТБ УФО Ространснадзора, — *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заявителя в лице Петровой Екатерины Александровны 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9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Петровой Екатерины Александровны (*) о нарушении заказчиком в лице УГАН НОТБ УФО Ространснадзора (*), его комиссией при осуществлении закупки путем проведения процедуры электронного аукциона на выполнение работ по сносу (демонтажу), утилизации аварийных объектов капитального строительства (извещение № 0362100029321000012),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01" w:line="19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Петровой Екатерины Александровны (вх. № 01-30127 от 09.11.2021г.) о нарушении заказчиком в лице УГАН НОТБ УФО Ространснадзора, его комиссией при осуществлении закупки путем проведения процедуры электронного аукциона на выполнение работ по сносу (демонтажу), утилизации аварийных объектов капитального строительства (извещение № 0362100029321000012), Закона о контрактной системе, соответствующая требованиям ст.105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техническое задание закупочной документации составлено с нарушениями положений действующего законодательства.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с доводами жалобы не согласились, просили признать жалобу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02.11.2021г. на официальном сайте опубликовано извещение о проведении электронного аукциона № 0362100029321000012 и аукционная документация на выполнение работ по сносу (демонтажу), утилизации аварийных объектов капитального строительства.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700 000, 00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(ч. 1 ст. 59 Закона о контрактной системе).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108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наименование и описание объекта закупки и условия контракта в соответствии со</w:t>
      </w:r>
      <w:r>
        <w:fldChar w:fldCharType="begin"/>
      </w:r>
      <w:r>
        <w:rPr>
          <w:color w:val="000000"/>
        </w:rPr>
        <w:instrText> HYPERLINK "http://www.consultant.ru/document/cons_doc_LAW_389509/d6aec91603ff628ea274b8552ce2849e06e0aa4c/%23dst100386"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статьей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"http://www.consultant.ru/document/cons_doc_LAW_389509/d6aec91603ff628ea274b8552ce2849e06e0aa4c/%23dst100386"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33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108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8 ч. 1 ст.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настоящей части.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первому доводу жалобы, заявитель считает, что заказчиком не был размещен проект организации работ по сносу (демонтажу) в том объеме, в котором он должен быть размещен на сайте единой информационной системы в сфере закупок в соответствии с положениями СП 325.1325800.2017 «Здания и сооружения. Правила производства работ при демонтаже и утилизации». Так, по мнению представителей заявителя, п. 7.4 Части II закупочной документации содержит указание на обязанность подрядчика по выполнению всех имеющихся видов работ в соответствии с проектом организации работ № 076-10-2021-ПОД, однако лист 1 графической части документа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«076-10-2021-ПОД.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pdf», размещенного на сайте единой информационной системы, представлен листом из другого проекта, а именно содержится указание на номер №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077-10-2021-ПОД.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Возражая относительно данного довода, представители заказчика на заседании Комиссии пояснили, что лист 1 графической части документа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«076-10-2021-ПОД.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pdf», а именно общая схема сноса и демонтажа, разработана на осуществление сноса четырех объектов: зданий с литер А (кадастровый номер 66:41:0501072:257), литер Б (кадастровый номер 66:41:0501072:396), литер В (кадастровый номер 66:41:0501072:233), литер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(кадастровый номер 66:41:0501072:1300), расположенных по адресу: Свердловская область, г. Екатеринбург, ул. Белинского, 246, что подтверждается первым листом документа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«076-10-2021-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ПОД.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рЖ» Общая схема сноса и демонтажа содержит в себе указание на вышеперечисленные объекты. Более того, как указали представители заказчика, на последующем листе графической части проектной документации (лист 26 документа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«076-10-2021-ПОД.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р№&gt;) содержится схема демонтажа здания литер А, являющегося объектом закупки с указанием номера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076-10-2021-ПОД.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Заслушав доводы сторон, Комиссия Свердловского УФАС России приходит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установлено, что п. 7.4 Части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закупочной документации и п. 7.4 Части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проекта контракта содержит указание на обязанность подрядчика по выполнению всех имеющихся видов работ в соответствии с проектом организации работ № 076-10-2021-ПОД. При этом, лист 1 графической части документа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«076-10-2021-ПОД.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р№&gt; содержит указание на номер №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077-10-2021-ПОД.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3 Части I информационной карты аукционной документации объектом закупки является выполнение работ по сносу (демонтажу), утилизации аварийных объектов капитального строительства.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2 ст. 55.30 Градостроительного кодекса РФ (далее — ГрК РФ)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документа, за исключением случаев, предусмотренных частями 3 и 8 настоящей статьи. Подготовка проекта организации работ по сносу объекта капитального строительства осуществляется специалистом по организации архитектурно - строительного проектирования, сведения о котором включены в национальный реестр специалистов в области архитектурно-строительного проектирования.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составу и содержанию проекта организации работ по сносу объекта капитального строительства устанавливаются Правительством Российской Федерации (ч.5 ст. 55.30 ГрК РФ).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Постановление Правительства РФ от 26.04.2019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509 «Об утверждении требований к составу и содержанию проекта организации работ по сносу объекта капитального строительства» (далее - Постановление Правительства РФ № 509) определяет требования к составу и содержанию проекта организации работ по сносу объекта капитального строительства.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п.3 Постановления Правительства РФ № 509 проект организации работ по сносу объекта капитального строительства (далее - проект) состоит из текстовой и графической частей.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свою очередь, согласно пп. «а» п.6 Постановления Правительства РФ № 509 графическая часть проекта содержит, в частности, план земельного участка, в границах которого расположен объект капитального строительства, подлежащий сносу, и прилегающих территорий с указанием места размещения сносимого объекта капитального строительства, надземных и подземных сетей инженерно-технического обеспечения, зон развала и опасных зон в период сноса объекта капитального строительства с указанием мест складирования материалов, конструкций, изделий и оборудования, установки стационарных кранов и путей перемещения кранов большой грузоподъемности, а также схемы движения транспортных средств.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Свердловского УФАС России установлено, что УГАН НОТБ УФО Ространснадзора обеспечена разработка проекта организации работ по сносу объекта капитального строительства, проект организации работ, разработанный ООО «АРТ ХАУС» размещен в составе документации об аукционе в ЕИС.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Вышеуказанный проекта организации работ содержит, в частности, лист 25, на котором указана схема сноса и демонтажа четырех зданий с литер А, литер Б, литер В, литер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пределах обозначенного земельного участка. Таким образом, проект организации работ в соответствии с ч. 5 ст. 55.30 ГрК РФ, п.6 Постановления Правительства РФ № 509 содержит графическую часть с планом земельного участка, в границах которого расположен, в том числе, объект капитального строительства, имеющий литер А, подлежащий сносу.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заявителя относительно того, что графическая часть проекта организации работ, размещенная в ЕИС, не содержит условного обозначения демонтируемого объекта капитального строительства (здание литер А) не свидетельствует о том, что имеются существенные несоответствия проекта организации работ требованиям Постановления Правительства РФ № 509, т.к. здание литер А находится в пределах земельного участка, границы которого обозначены в проекте организации работ, при этом, само здание литер А (без его выделения) схематически также представлено в графической части проекта организации работ.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как установлено Комиссией, проект организации работ на странице 26 также содержит по зданию литер А схему демонтажа здания с экскаватором, информацию о потребности в машинах и механизмах.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комиссия Свердловского УФАС России по контролю в сфере закупок, выступающая от имени контрольного органа в сфере закупок, уполномочена на осуществление контроля в рамках законодательства о контрактной системе, вместе с тем, у нее отсутствуют полномочия по контролю в сфере законодательства о градостроительной деятельности.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Более того, в соответствии с ч. 3 ст. 65 Закона о контрактной системе любой участник электронного аукциона, зарегистрированный в единой информационной системе и аккредитованный на электронной площадке, вправе направить с использованием программно-аппаратных средств электронной площадки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на момент рассмотрения жалобы никаких запросов на дачу разъяснений относительно данного довода заказчику направлено не было.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Комиссией Свердловского УФАС России нарушений требований п.8 ч.1 ст.33 Закона о контрактной системе в действиях УГ АН НОТБ УФО Ространснадзора не выявлено.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второму доводу жалобы, положения технического задания документации противоречат сведениям документа </w:t>
      </w:r>
      <w:r>
        <w:fldChar w:fldCharType="begin"/>
      </w:r>
      <w:r>
        <w:rPr>
          <w:color w:val="000000"/>
        </w:rPr>
        <w:instrText> HYPERLINK "https://zakupki.gov.ru/44fz/filestore/public/1.0/download/priz/file.html?uid=CFCA01F8D5720E73E05334548D0A0146"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«076-10-2021-ПОД.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р№&gt;, являющегося неотъемлемой частью закупочной документации, а именно: в техническом задании указаны деревянные перекрытия, в то время, как проектной документацией установлено, что перекрытия являются монолитными и сборными железобетонными.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в соответствии с п. 2 технического задания аукционной документации в отношении объекта литер А проводится следующий комплекс выполняемых работ: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«Наименование объекта:Литер: А, А1. Этажность: 5-1. Подземная этажность: 1-0. Кадастровый № 66:41:0501072:257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Характеристика объекта: Фундамент: бутовый ленточный; Стены: кирпичные; Перегородки: кирпичные, Перекрытия: деревянные; Кровля: железная; Сети инженерно-технического обеспечения: не функционируют».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Положения проектной документации на листе 7 материалов указывают, что перекрытия на объекте следующих видов: монолитное железобетонное, сборное железобетонное.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представителями заявителя было сообщено, что от вида перекрытий зависит объем и сложность выполнения работ по их сносу и демонтажу, а неоднозначные сведения о том, какого вида на самом деле данные перекрытия, не позволяют участникам закупки рассчитать объем предстоящих возможных работ.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содержащейся в проекте организации работ, по зданию литер А указано следующее: «чердачное перекрытие выполнено деревянным. Перекрытия передают эксплуатационные нагрузки на кирпичные стены и железобетонные и бетонные колонны здания».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4 ст. 55.30 ГрК РФ подготовка проекта организации работ по сносу объекта капитального строительства осуществляется на основании результатов и материалов обследования объекта капитального строительства в соответствии с требованиями технических регламентов, санитарно-эпидемиологическими требованиями, требованиями в области охраны окружающей среды, требованиями безопасности деятельности в области использования атомной энергии, требованиями к осуществлению деятельности в области промышленной безопасности.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снос объекта капитального строительства осуществляется в соответствии с проектом организации работ по сносу объекта капитального строительства.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Комиссия поясняет, что в соответствии с ч. 3 ст. 65 Закона о контрактной системе заявитель не реализовал свое право на получение от заказчика разъяснений в случае наличия у него соответствующих вопросов, касающихся положений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Между тем, доказательств, подтверждающих изменение объема и сложности выполняемых работ в зависимости от вида перекрытий, того, что названное обстоятельство не позволяет Шестаковой А.О. подать свою заявку на участие в рассматриваемой закупке, иным образом нарушает права и законные интересы заявителя в рамках проведения электронного аукциона Комиссии Свердловского УФАС России не представлено.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данный довод признан необоснованным.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9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29" w:line="190" w:lineRule="exact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3"/>
        <w:numPr>
          <w:ilvl w:val="0"/>
          <w:numId w:val="3"/>
        </w:numPr>
        <w:tabs>
          <w:tab w:leader="none" w:pos="13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Петровой Екатерины Александровны признать необоснованной.</w:t>
      </w:r>
    </w:p>
    <w:p>
      <w:pPr>
        <w:pStyle w:val="Style3"/>
        <w:numPr>
          <w:ilvl w:val="0"/>
          <w:numId w:val="3"/>
        </w:numPr>
        <w:tabs>
          <w:tab w:leader="none" w:pos="1340" w:val="left"/>
          <w:tab w:leader="none" w:pos="96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УГАН НОТБ УФО Ространснадзора, его</w:t>
        <w:tab/>
        <w:t>комиссии нарушений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 не выявлено.</w:t>
      </w:r>
    </w:p>
    <w:p>
      <w:pPr>
        <w:pStyle w:val="Style3"/>
        <w:numPr>
          <w:ilvl w:val="0"/>
          <w:numId w:val="3"/>
        </w:numPr>
        <w:tabs>
          <w:tab w:leader="none" w:pos="1340" w:val="left"/>
          <w:tab w:leader="none" w:pos="96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его комиссии предписание об устранении нарушений</w:t>
        <w:tab/>
        <w:t>законодательства 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7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не выдавать.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56" w:line="240" w:lineRule="exact"/>
        <w:ind w:left="0" w:right="4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type w:val="continuous"/>
      <w:pgSz w:w="11906" w:h="16838"/>
      <w:pgMar w:top="1535" w:left="1119" w:right="1129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+ 5 pt"/>
    <w:basedOn w:val="CharStyle4"/>
    <w:rPr>
      <w:lang w:val="ru-RU" w:eastAsia="ru-RU" w:bidi="ru-RU"/>
      <w:sz w:val="10"/>
      <w:szCs w:val="10"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line="245" w:lineRule="exact"/>
      <w:ind w:hanging="36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after="180" w:line="23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