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7" w:line="260" w:lineRule="exact"/>
        <w:ind w:left="5340" w:right="0" w:firstLine="0"/>
      </w:pPr>
      <w:r>
        <w:rPr>
          <w:lang w:val="ru-RU" w:eastAsia="ru-RU" w:bidi="ru-RU"/>
          <w:w w:val="100"/>
          <w:spacing w:val="0"/>
          <w:color w:val="000000"/>
          <w:position w:val="0"/>
        </w:rPr>
        <w:t>ГБУЗ «ДЦЛИ ДЗМ»</w:t>
      </w:r>
    </w:p>
    <w:p>
      <w:pPr>
        <w:pStyle w:val="Style5"/>
        <w:widowControl w:val="0"/>
        <w:keepNext w:val="0"/>
        <w:keepLines w:val="0"/>
        <w:shd w:val="clear" w:color="auto" w:fill="auto"/>
        <w:bidi w:val="0"/>
        <w:jc w:val="left"/>
        <w:spacing w:before="0" w:after="346" w:line="317" w:lineRule="exact"/>
        <w:ind w:left="5340" w:right="240" w:firstLine="0"/>
      </w:pPr>
      <w:r>
        <w:rPr>
          <w:lang w:val="ru-RU" w:eastAsia="ru-RU" w:bidi="ru-RU"/>
          <w:w w:val="100"/>
          <w:spacing w:val="0"/>
          <w:color w:val="000000"/>
          <w:position w:val="0"/>
        </w:rPr>
        <w:t>ул. Ореховый б-р., д. 49, к. 1, г. Москва, 115580</w:t>
      </w:r>
    </w:p>
    <w:p>
      <w:pPr>
        <w:pStyle w:val="Style5"/>
        <w:widowControl w:val="0"/>
        <w:keepNext w:val="0"/>
        <w:keepLines w:val="0"/>
        <w:shd w:val="clear" w:color="auto" w:fill="auto"/>
        <w:bidi w:val="0"/>
        <w:jc w:val="left"/>
        <w:spacing w:before="0" w:after="243" w:line="260" w:lineRule="exact"/>
        <w:ind w:left="5340" w:right="0" w:firstLine="0"/>
      </w:pPr>
      <w:r>
        <w:rPr>
          <w:lang w:val="ru-RU" w:eastAsia="ru-RU" w:bidi="ru-RU"/>
          <w:w w:val="100"/>
          <w:spacing w:val="0"/>
          <w:color w:val="000000"/>
          <w:position w:val="0"/>
        </w:rPr>
        <w:t>ИП Масленникова С.Е.</w:t>
      </w:r>
    </w:p>
    <w:p>
      <w:pPr>
        <w:pStyle w:val="Style5"/>
        <w:widowControl w:val="0"/>
        <w:keepNext w:val="0"/>
        <w:keepLines w:val="0"/>
        <w:shd w:val="clear" w:color="auto" w:fill="auto"/>
        <w:bidi w:val="0"/>
        <w:jc w:val="left"/>
        <w:spacing w:before="0" w:after="1175" w:line="322" w:lineRule="exact"/>
        <w:ind w:left="5340" w:right="240" w:firstLine="0"/>
      </w:pPr>
      <w:r>
        <w:rPr>
          <w:lang w:val="ru-RU" w:eastAsia="ru-RU" w:bidi="ru-RU"/>
          <w:w w:val="100"/>
          <w:spacing w:val="0"/>
          <w:color w:val="000000"/>
          <w:position w:val="0"/>
        </w:rPr>
        <w:t>Днепропетровская ул., 48Б, кв. 149, г. Ростов-на-Дону, 344093</w:t>
      </w:r>
    </w:p>
    <w:p>
      <w:pPr>
        <w:pStyle w:val="Style8"/>
        <w:tabs>
          <w:tab w:leader="none" w:pos="8944" w:val="lef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№077/06/106-20033/2021 о нарушении законодательства о контрактной системе 16.11.2021</w:t>
        <w:tab/>
        <w:t>г. Москва</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40" w:right="0" w:firstLine="5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685" w:h="394" w:wrap="around" w:vAnchor="text" w:hAnchor="margin" w:x="385" w:y="449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000726033113</w:t>
      </w:r>
    </w:p>
    <w:p>
      <w:pPr>
        <w:pStyle w:val="Style5"/>
        <w:widowControl w:val="0"/>
        <w:keepNext w:val="0"/>
        <w:keepLines w:val="0"/>
        <w:shd w:val="clear" w:color="auto" w:fill="auto"/>
        <w:bidi w:val="0"/>
        <w:jc w:val="both"/>
        <w:spacing w:before="0" w:after="0" w:line="322" w:lineRule="exact"/>
        <w:ind w:left="40" w:right="20" w:firstLine="540"/>
      </w:pPr>
      <w:r>
        <w:rPr>
          <w:lang w:val="ru-RU" w:eastAsia="ru-RU" w:bidi="ru-RU"/>
          <w:w w:val="100"/>
          <w:spacing w:val="0"/>
          <w:color w:val="000000"/>
          <w:position w:val="0"/>
        </w:rPr>
        <w:t>при участии представителей ГБУЗ «ДЦЛИ ДЗМ», ИП Масленникова С.Е., при участии слушателя: представителя ООО «Технологии Охраны Здоровья», рассмотрев жалобу ИП Масленникова С.Е. (далее — Заявитель) на действия ГБУЗ «ДЦЛИ ДЗМ» (далее — Заказчик) при проведении электронного аукциона на право заключения государственного контракта на поставку средств ГО ЧС (самоспасатель) для нужд ГБУЗ «ДЦЛИ ДЗМ» (Закупка № 0373200069621000580)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left"/>
        <w:spacing w:before="0" w:after="0" w:line="322" w:lineRule="exact"/>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left"/>
        <w:spacing w:before="0" w:after="0" w:line="322" w:lineRule="exact"/>
        <w:ind w:left="20" w:right="20" w:firstLine="74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№ЕИ/68437/21 от 11.11.2021,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В составе жалобы Заявитель указывает, что в технической части аукционной документации Заказчиком установлено неправомерное избыточное требование к товару по п. «Самоспасатель пожарный фильтрующий»: «Материал корпуса фильтра: Металл».</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Так, Заявитель указывает на то, что требования для самоспасателей, используемых при пожаре установлены в подпункте 15 пункта 4.4 Технического регламента Таможенного союза «О безопасности средств индивидуальной защиты» (далее - ТР ТС 019/2011), соблюдение которых обеспечивается применением ГОСТ Р 53261-2009 «Техника пожарная. Самоспасатели фильтрующие для защиты людей от токсичных продуктов горения при эвакуации из задымленных помещений во время пожара. Общие технические требования. Методы испытаний», при этом ни ТР ТС 019/2011, ни положениями ГОСТ Р 53261-2009 не предъявлено требования к материалу, из которого должен быть изготовлен корпус фильтра самоспасателя.</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Не согласившись с доводами жалобы, представитель Заказчика пояснил, что в перечень международных, региональных (межгосударственных) стандартов, национальных (государственных) стандартов, в результате применения которых обеспечивается соблюдение требований ТР ТС 019/2011 включен стандарт - ГОСТ Р 12.4.294-2013.</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При этом согласно п. 6.4 ГОСТ Р 12.4.294-2013 «Материалы» все металлические детали самоспасателя должны быть устойчивы к коррозии или обеспечивать защиту от коррозии, например, с помощью упаковки.</w:t>
      </w:r>
    </w:p>
    <w:p>
      <w:pPr>
        <w:pStyle w:val="Style5"/>
        <w:widowControl w:val="0"/>
        <w:keepNext w:val="0"/>
        <w:keepLines w:val="0"/>
        <w:shd w:val="clear" w:color="auto" w:fill="auto"/>
        <w:bidi w:val="0"/>
        <w:jc w:val="both"/>
        <w:spacing w:before="0" w:after="0" w:line="322" w:lineRule="exact"/>
        <w:ind w:left="20" w:right="20" w:firstLine="780"/>
      </w:pPr>
      <w:r>
        <w:rPr>
          <w:lang w:val="ru-RU" w:eastAsia="ru-RU" w:bidi="ru-RU"/>
          <w:w w:val="100"/>
          <w:spacing w:val="0"/>
          <w:color w:val="000000"/>
          <w:position w:val="0"/>
        </w:rPr>
        <w:t>Таким образом, оспариваемое Заявителем требование не вступает в противоречие с документами системы стандартизации, в частности с ГОСТ</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 12.4.294-2013.</w:t>
      </w:r>
    </w:p>
    <w:p>
      <w:pPr>
        <w:pStyle w:val="Style5"/>
        <w:tabs>
          <w:tab w:leader="none" w:pos="5324" w:val="left"/>
        </w:tabs>
        <w:widowControl w:val="0"/>
        <w:keepNext w:val="0"/>
        <w:keepLines w:val="0"/>
        <w:shd w:val="clear" w:color="auto" w:fill="auto"/>
        <w:bidi w:val="0"/>
        <w:jc w:val="both"/>
        <w:spacing w:before="0" w:after="0" w:line="322" w:lineRule="exact"/>
        <w:ind w:left="20" w:right="20" w:firstLine="800"/>
      </w:pPr>
      <w:r>
        <w:rPr>
          <w:lang w:val="ru-RU" w:eastAsia="ru-RU" w:bidi="ru-RU"/>
          <w:w w:val="100"/>
          <w:spacing w:val="0"/>
          <w:color w:val="000000"/>
          <w:position w:val="0"/>
        </w:rPr>
        <w:t>Кроме того представитель Заказчика сообщил, что установление требований к материалу корпуса фильтра, а именно металла, обусловлено тем фактом, что металлический корпус обеспечивает возможность визуального обнаружения видимых повреждений корпуса комбинированного фильтра (образования вмятин, за счет отсутствия обратимой деформации материала), что позволяет определить пригодность самоспасателя к применению после его извлечения из герметичной упаковки. Наличие вмятин на корпусе позволяет однозначно установить наличие повреждений составляющих фильтра:</w:t>
        <w:tab/>
        <w:t>противоаэрозольного элемента и/или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поглощающего слоя, возникших при хранении или транспортировке продукции, следовательно, принять решение о применении другого (запасного) самоспасателя после извлечения его из упаковки. В случае с пластиковыми (полимерными) корпусами, которые применяются некоторыми производителями, повреждения противоаэрозольного элемента и/или поглощающего слоя не могут быть визуально определены, так как пластиковый корпус обладает свойством обратимой деформации, то есть при механических воздействиях на корпус он сохраняет свою целостность, при этом противоаэрозольный элемент и/или поглощающий слой повреждаются (деформируются). Отсутствие возможности визуального определения повреждений противоаэрозольного элемента и/или поглощающего слоя может привести к использованию в условиях чрезвычайной ситуации непригодного самоспасателя и, как следствие, причинению вреда здоровью пользователя путем отравления опасными химическими веществами.</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составе жалобы, а также на заседании Комиссии Управления представителем Заявителя не представлены документы и сведения, свидетельствующие о нарушении Заказчиком норм Закона о контрактной системе, в частности, представителем Заявителя не представлены доказательства того обстоятельства, что установление Заказчиком требований к материалам корпуса самоспасателя, ограничивают количество участников закупки, а также противоречит требованиям ТР ТС 019/2011.</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Также согласно доводам Заявителя установленные Заказчиком характеристики требуемого к поставке товара по п. «Самоспасатель пожарный фильтрующий» ограничивают круг участников закупки, поскольку совокупности установленных требований соответствует продукция единственного производителя, а именно самоспасатель фильтрующий «ГДЗК</w:t>
      </w:r>
      <w:r>
        <w:rPr>
          <w:lang w:val="en-US" w:eastAsia="en-US" w:bidi="en-US"/>
          <w:w w:val="100"/>
          <w:spacing w:val="0"/>
          <w:color w:val="000000"/>
          <w:position w:val="0"/>
        </w:rPr>
        <w:t xml:space="preserve">-EN» </w:t>
      </w:r>
      <w:r>
        <w:rPr>
          <w:lang w:val="ru-RU" w:eastAsia="ru-RU" w:bidi="ru-RU"/>
          <w:w w:val="100"/>
          <w:spacing w:val="0"/>
          <w:color w:val="000000"/>
          <w:position w:val="0"/>
        </w:rPr>
        <w:t>производства ОАО «ЭХМЗ им. Н.Д. Зелинского», при этом ограничивающими возможность предложения к поставке товаров иных производителей являются следующие требования: «Материал корпуса фильтра: Металл», «п.4.2 Технического задания: Соответствие товара требованиям безопасности подлежит обязательному подтверждению в порядке, предусмотренном законодательством Российской Федерации. Соответствие качества и безопасности товара должно быть подтверждено, в том числе сертификатом пожарной безопасности».</w:t>
      </w:r>
    </w:p>
    <w:p>
      <w:pPr>
        <w:pStyle w:val="Style5"/>
        <w:widowControl w:val="0"/>
        <w:keepNext w:val="0"/>
        <w:keepLines w:val="0"/>
        <w:shd w:val="clear" w:color="auto" w:fill="auto"/>
        <w:bidi w:val="0"/>
        <w:jc w:val="both"/>
        <w:spacing w:before="0" w:after="0" w:line="322" w:lineRule="exact"/>
        <w:ind w:left="20" w:right="20" w:firstLine="800"/>
      </w:pPr>
      <w:r>
        <w:rPr>
          <w:lang w:val="ru-RU" w:eastAsia="ru-RU" w:bidi="ru-RU"/>
          <w:w w:val="100"/>
          <w:spacing w:val="0"/>
          <w:color w:val="000000"/>
          <w:position w:val="0"/>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На заседании Комиссии Управления представитель Заказчика пояснил, что установленные в технической части аукционной документации характеристики поставляемого товара обусловлены необходимостью заказчика в поставке в рамках данной закупки товаров, обладающих характеристиками, указанными в аукционной документации, при этом совокупности установленных требований в отношении товара по п. «Самоспасатель пожарный фильтрующий» соответствует продукция нескольких производителей, а именно: АО «Сорбент», АО «ЭХМЗ им. Н.Д. Зелинского», </w:t>
      </w:r>
      <w:r>
        <w:rPr>
          <w:lang w:val="en-US" w:eastAsia="en-US" w:bidi="en-US"/>
          <w:w w:val="100"/>
          <w:spacing w:val="0"/>
          <w:color w:val="000000"/>
          <w:position w:val="0"/>
        </w:rPr>
        <w:t xml:space="preserve">Drager Safety, </w:t>
      </w:r>
      <w:r>
        <w:rPr>
          <w:lang w:val="ru-RU" w:eastAsia="ru-RU" w:bidi="ru-RU"/>
          <w:w w:val="100"/>
          <w:spacing w:val="0"/>
          <w:color w:val="000000"/>
          <w:position w:val="0"/>
        </w:rPr>
        <w:t>ООО «СПАС ПЛЮС».</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Вместе с тем, как указано в жалобе, самоспасатели, например, производства АО «Сорбент», не отвечают совокупности установленных требований, поскольку у данных самоспасателей отсутствуют сертификаты пожарной безопасности, предусмотренные Федеральным Законом от 22.07.2008 № 123-ФЗ «Технический регламент о требованиях пожарной безопасности» (далее — Закон 123-ФЗ).</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Вместе с тем представитель Заказчика пояснил, что Заявитель ошибочно полагает, что требование о предоставлении сертификата пожарной безопасности является требованием о предоставлении сертификата соответствия требованиям Закон № 123-ФЗ.</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настоящее время фильтрующие самоспасатели, используемые при пожаре, входят в область регулирования ТР ТС 019/2011, так, согласно пункту 3.2 Решения Комиссии Таможенного союза от 09 декабря 2011 года № 878 со дня вступления в силу технического регламента ТР ТС 019/2011 выдача или принятие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(Закон № 123-ФЗ), не допускается.</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соответствии с частью 2 статьи 53 Договора о Евразийском экономическом союзе Государства-члены обеспечивают обращение продукции, соответствующей требованиям технического регламента Союза (технических регламентов Союза), на своей территории без предъявления дополнительных по отношению к содержащимся в техническом регламенте Союза (технических регламентах Союза) требований к такой продукции и без проведения дополнительных процедур оценки соответствия.</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силу вышеуказанных норм, на основании положений части 2 статьи 53 Договора о Евразийском экономическом союзе, пункта 3.2 Решения Комиссии Таможенного союза от 09 декабря 2011 года № 878, сертификатом, подтверждающим пожарную безопасность фильтрующего самоспасателя, используемого при пожаре, является исключительно сертификат соответствия требованиям ТР ТС 019/2011.</w:t>
      </w:r>
    </w:p>
    <w:p>
      <w:pPr>
        <w:pStyle w:val="Style5"/>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Также представителем Заявителя не представлено доказательств того, что у Заказчика объективно отсутствует необходимость в получении именно такой продукции, с теми качественными, функциональными и техническими характеристиками и именно в той комплектации, которая указана в аукционной документации.</w:t>
      </w:r>
      <w:r>
        <w:br w:type="page"/>
      </w:r>
    </w:p>
    <w:p>
      <w:pPr>
        <w:pStyle w:val="Style5"/>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Кроме того, Комиссия Управления также отмечает, что предъявленные Заказчиком требования к поставляемым товарам в равной степени распространялись на всех участников аукциона, ввиду чего любое лицо обладало возможностью закупить и поставить требуемые товары.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289" w:line="322" w:lineRule="exact"/>
        <w:ind w:left="20" w:right="20" w:firstLine="460"/>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8"/>
        <w:widowControl w:val="0"/>
        <w:keepNext w:val="0"/>
        <w:keepLines w:val="0"/>
        <w:shd w:val="clear" w:color="auto" w:fill="auto"/>
        <w:bidi w:val="0"/>
        <w:jc w:val="center"/>
        <w:spacing w:before="0" w:after="303" w:line="260" w:lineRule="exact"/>
        <w:ind w:left="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 xml:space="preserve"> Признать жалобу ИП Масленникова С.Е. на действия ГБУЗ «ДЦЛИ ДЗМ» необоснованной.</w:t>
      </w:r>
    </w:p>
    <w:p>
      <w:pPr>
        <w:pStyle w:val="Style5"/>
        <w:numPr>
          <w:ilvl w:val="0"/>
          <w:numId w:val="3"/>
        </w:numPr>
        <w:widowControl w:val="0"/>
        <w:keepNext w:val="0"/>
        <w:keepLines w:val="0"/>
        <w:shd w:val="clear" w:color="auto" w:fill="auto"/>
        <w:bidi w:val="0"/>
        <w:jc w:val="both"/>
        <w:spacing w:before="0" w:after="0" w:line="322" w:lineRule="exact"/>
        <w:ind w:left="20" w:right="20" w:firstLine="460"/>
      </w:pPr>
      <w:r>
        <w:rPr>
          <w:lang w:val="ru-RU" w:eastAsia="ru-RU" w:bidi="ru-RU"/>
          <w:w w:val="100"/>
          <w:spacing w:val="0"/>
          <w:color w:val="000000"/>
          <w:position w:val="0"/>
        </w:rPr>
        <w:t xml:space="preserve"> Снять ограничения на определение поставщиков (подрядчиков, исполнителей), наложенные письмом Московского УФАС России №ЕИ/68437/21 от</w:t>
      </w:r>
    </w:p>
    <w:p>
      <w:pPr>
        <w:pStyle w:val="Style5"/>
        <w:widowControl w:val="0"/>
        <w:keepNext w:val="0"/>
        <w:keepLines w:val="0"/>
        <w:shd w:val="clear" w:color="auto" w:fill="auto"/>
        <w:bidi w:val="0"/>
        <w:jc w:val="left"/>
        <w:spacing w:before="0" w:after="423" w:line="260" w:lineRule="exact"/>
        <w:ind w:left="20" w:right="0" w:firstLine="0"/>
      </w:pPr>
      <w:r>
        <w:rPr>
          <w:lang w:val="ru-RU" w:eastAsia="ru-RU" w:bidi="ru-RU"/>
          <w:w w:val="100"/>
          <w:spacing w:val="0"/>
          <w:color w:val="000000"/>
          <w:position w:val="0"/>
        </w:rPr>
        <w:t>11.11.2021.</w:t>
      </w:r>
    </w:p>
    <w:p>
      <w:pPr>
        <w:pStyle w:val="Style5"/>
        <w:widowControl w:val="0"/>
        <w:keepNext w:val="0"/>
        <w:keepLines w:val="0"/>
        <w:shd w:val="clear" w:color="auto" w:fill="auto"/>
        <w:bidi w:val="0"/>
        <w:jc w:val="both"/>
        <w:spacing w:before="0" w:after="289" w:line="322" w:lineRule="exact"/>
        <w:ind w:left="20" w:right="20" w:firstLine="46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5"/>
        <w:framePr w:h="245" w:vSpace="720" w:wrap="around" w:vAnchor="text" w:hAnchor="margin" w:x="8371" w:y="1"/>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framePr w:h="240" w:wrap="around" w:vAnchor="text" w:hAnchor="margin" w:x="8371" w:y="639"/>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20" w:right="0" w:firstLine="0"/>
      </w:pPr>
      <w:r>
        <w:rPr>
          <w:lang w:val="ru-RU" w:eastAsia="ru-RU" w:bidi="ru-RU"/>
          <w:w w:val="100"/>
          <w:spacing w:val="0"/>
          <w:color w:val="000000"/>
          <w:position w:val="0"/>
        </w:rPr>
        <w:t>Председатель Комиссии:</w:t>
      </w:r>
    </w:p>
    <w:p>
      <w:pPr>
        <w:pStyle w:val="Style5"/>
        <w:framePr w:h="240" w:wrap="notBeside" w:vAnchor="text" w:hAnchor="margin" w:x="8519" w:y="639"/>
        <w:widowControl w:val="0"/>
        <w:keepNext w:val="0"/>
        <w:keepLines w:val="0"/>
        <w:shd w:val="clear" w:color="auto" w:fill="auto"/>
        <w:bidi w:val="0"/>
        <w:jc w:val="left"/>
        <w:spacing w:before="0" w:after="0" w:line="240" w:lineRule="exact"/>
        <w:ind w:left="100" w:right="0" w:firstLine="0"/>
      </w:pPr>
      <w:r>
        <w:rPr>
          <w:rStyle w:val="CharStyle6"/>
          <w:spacing w:val="0"/>
        </w:rPr>
        <w:t>В.А. Матвеев</w:t>
      </w:r>
    </w:p>
    <w:p>
      <w:pPr>
        <w:pStyle w:val="Style5"/>
        <w:widowControl w:val="0"/>
        <w:keepNext w:val="0"/>
        <w:keepLines w:val="0"/>
        <w:shd w:val="clear" w:color="auto" w:fill="auto"/>
        <w:bidi w:val="0"/>
        <w:jc w:val="left"/>
        <w:spacing w:before="0" w:after="4543" w:line="260" w:lineRule="exact"/>
        <w:ind w:left="20" w:right="0" w:firstLine="0"/>
      </w:pPr>
      <w:r>
        <w:rPr>
          <w:lang w:val="ru-RU" w:eastAsia="ru-RU" w:bidi="ru-RU"/>
          <w:w w:val="100"/>
          <w:spacing w:val="0"/>
          <w:color w:val="000000"/>
          <w:position w:val="0"/>
        </w:rPr>
        <w:t>Члены Комиссии:</w:t>
      </w:r>
    </w:p>
    <w:p>
      <w:pPr>
        <w:pStyle w:val="Style12"/>
        <w:widowControl w:val="0"/>
        <w:keepNext w:val="0"/>
        <w:keepLines w:val="0"/>
        <w:shd w:val="clear" w:color="auto" w:fill="auto"/>
        <w:bidi w:val="0"/>
        <w:jc w:val="left"/>
        <w:spacing w:before="0" w:after="0"/>
        <w:ind w:left="20" w:right="5400" w:firstLine="0"/>
      </w:pPr>
      <w:r>
        <w:rPr>
          <w:lang w:val="ru-RU" w:eastAsia="ru-RU" w:bidi="ru-RU"/>
          <w:w w:val="100"/>
          <w:spacing w:val="0"/>
          <w:color w:val="000000"/>
          <w:position w:val="0"/>
        </w:rPr>
        <w:t xml:space="preserve">Исп. Матвеев Владислав Александрович </w:t>
      </w:r>
      <w:r>
        <w:rPr>
          <w:rStyle w:val="CharStyle14"/>
        </w:rPr>
        <w:t>Тел. 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 7,5 pt"/>
    <w:basedOn w:val="CharStyle13"/>
    <w:rPr>
      <w:lang w:val="ru-RU" w:eastAsia="ru-RU" w:bidi="ru-RU"/>
      <w:sz w:val="15"/>
      <w:szCs w:val="15"/>
      <w:w w:val="100"/>
      <w:spacing w:val="0"/>
      <w:color w:val="000000"/>
      <w:position w:val="0"/>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140" w:line="27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4620" w:line="187"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