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26" w:after="94"/>
        <w:ind w:left="0" w:right="0" w:firstLine="0"/>
      </w:pPr>
      <w:r>
        <w:rPr>
          <w:rStyle w:val="CharStyle5"/>
          <w:b w:val="0"/>
          <w:bCs w:val="0"/>
        </w:rPr>
        <w:t xml:space="preserve">ФЕДЕРАЛЬНАЯ </w:t>
      </w:r>
      <w:r>
        <w:rPr>
          <w:lang w:val="ru-RU" w:eastAsia="ru-RU" w:bidi="ru-RU"/>
          <w:w w:val="100"/>
          <w:spacing w:val="0"/>
          <w:color w:val="000000"/>
          <w:position w:val="0"/>
        </w:rPr>
        <w:t>АНТИМОНОПОЛЬНАЯ СЛУЖБА</w:t>
      </w:r>
    </w:p>
    <w:p>
      <w:pPr>
        <w:pStyle w:val="Style6"/>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УПРАВЛЕНИЕ</w:t>
      </w:r>
    </w:p>
    <w:p>
      <w:pPr>
        <w:pStyle w:val="Style8"/>
        <w:widowControl w:val="0"/>
        <w:keepNext w:val="0"/>
        <w:keepLines w:val="0"/>
        <w:shd w:val="clear" w:color="auto" w:fill="auto"/>
        <w:bidi w:val="0"/>
        <w:spacing w:before="0" w:after="87"/>
        <w:ind w:left="0" w:right="0" w:firstLine="0"/>
      </w:pPr>
      <w:r>
        <w:rPr>
          <w:lang w:val="ru-RU" w:eastAsia="ru-RU" w:bidi="ru-RU"/>
          <w:w w:val="100"/>
          <w:color w:val="000000"/>
          <w:position w:val="0"/>
        </w:rPr>
        <w:t xml:space="preserve">Федеральной антимонопольной службы </w:t>
      </w:r>
      <w:r>
        <w:rPr>
          <w:rStyle w:val="CharStyle10"/>
        </w:rPr>
        <w:t>по Амурской области</w:t>
      </w:r>
    </w:p>
    <w:p>
      <w:pPr>
        <w:pStyle w:val="Style11"/>
        <w:widowControl w:val="0"/>
        <w:keepNext w:val="0"/>
        <w:keepLines w:val="0"/>
        <w:shd w:val="clear" w:color="auto" w:fill="auto"/>
        <w:bidi w:val="0"/>
        <w:spacing w:before="0" w:after="29"/>
        <w:ind w:left="0" w:right="0" w:firstLine="0"/>
      </w:pPr>
      <w:r>
        <w:rPr>
          <w:rStyle w:val="CharStyle13"/>
          <w:b w:val="0"/>
          <w:bCs w:val="0"/>
        </w:rPr>
        <w:t xml:space="preserve">ул. Амурск?», 150. г. Бле:-ллещекск, </w:t>
      </w:r>
      <w:r>
        <w:rPr>
          <w:rStyle w:val="CharStyle14"/>
          <w:b w:val="0"/>
          <w:bCs w:val="0"/>
        </w:rPr>
        <w:t xml:space="preserve">Амуре,::? обллсть. 675000 </w:t>
      </w:r>
      <w:r>
        <w:rPr>
          <w:lang w:val="ru-RU" w:eastAsia="ru-RU" w:bidi="ru-RU"/>
          <w:w w:val="100"/>
          <w:color w:val="000000"/>
          <w:position w:val="0"/>
        </w:rPr>
        <w:t xml:space="preserve">тел. (4162) 52-00-07, фг.кс (4162) 52-00-35 </w:t>
      </w:r>
      <w:r>
        <w:rPr>
          <w:rStyle w:val="CharStyle15"/>
          <w:b w:val="0"/>
          <w:bCs w:val="0"/>
        </w:rPr>
        <w:t>E-irAl: to2*0?As gov.ru</w:t>
      </w:r>
    </w:p>
    <w:p>
      <w:pPr>
        <w:pStyle w:val="Style16"/>
        <w:widowControl w:val="0"/>
        <w:keepNext/>
        <w:keepLines/>
        <w:shd w:val="clear" w:color="auto" w:fill="auto"/>
        <w:bidi w:val="0"/>
        <w:jc w:val="left"/>
        <w:spacing w:before="0" w:after="96" w:line="260" w:lineRule="exact"/>
        <w:ind w:left="460" w:right="0" w:firstLine="0"/>
      </w:pPr>
      <w:bookmarkStart w:id="0" w:name="bookmark0"/>
      <w:r>
        <w:rPr>
          <w:rStyle w:val="CharStyle18"/>
          <w:b/>
          <w:bCs/>
        </w:rPr>
        <w:t>16. П 2021 .</w:t>
      </w:r>
      <w:bookmarkEnd w:id="0"/>
    </w:p>
    <w:p>
      <w:pPr>
        <w:pStyle w:val="Style11"/>
        <w:tabs>
          <w:tab w:leader="none" w:pos="2665" w:val="center"/>
        </w:tabs>
        <w:widowControl w:val="0"/>
        <w:keepNext w:val="0"/>
        <w:keepLines w:val="0"/>
        <w:shd w:val="clear" w:color="auto" w:fill="auto"/>
        <w:bidi w:val="0"/>
        <w:jc w:val="both"/>
        <w:spacing w:before="0" w:after="0" w:line="220" w:lineRule="exact"/>
        <w:ind w:left="20" w:right="0" w:firstLine="0"/>
      </w:pPr>
      <w:r>
        <w:rPr>
          <w:lang w:val="ru-RU" w:eastAsia="ru-RU" w:bidi="ru-RU"/>
          <w:w w:val="100"/>
          <w:color w:val="000000"/>
          <w:position w:val="0"/>
        </w:rPr>
        <w:t>На №</w:t>
        <w:tab/>
      </w:r>
      <w:r>
        <w:rPr>
          <w:rStyle w:val="CharStyle19"/>
          <w:b w:val="0"/>
          <w:bCs w:val="0"/>
        </w:rPr>
        <w:t>от</w:t>
      </w:r>
    </w:p>
    <w:p>
      <w:pPr>
        <w:pStyle w:val="Style20"/>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Г осударственному заказчику:</w:t>
      </w:r>
    </w:p>
    <w:p>
      <w:pPr>
        <w:pStyle w:val="Style22"/>
        <w:widowControl w:val="0"/>
        <w:keepNext w:val="0"/>
        <w:keepLines w:val="0"/>
        <w:shd w:val="clear" w:color="auto" w:fill="auto"/>
        <w:bidi w:val="0"/>
        <w:jc w:val="left"/>
        <w:spacing w:before="0" w:after="244"/>
        <w:ind w:left="20" w:right="0" w:firstLine="0"/>
      </w:pPr>
      <w:r>
        <w:rPr>
          <w:lang w:val="ru-RU" w:eastAsia="ru-RU" w:bidi="ru-RU"/>
          <w:sz w:val="24"/>
          <w:szCs w:val="24"/>
          <w:w w:val="100"/>
          <w:spacing w:val="0"/>
          <w:color w:val="000000"/>
          <w:position w:val="0"/>
        </w:rPr>
        <w:t>Федеральному государственному бюджетному образовательному учреждению высшего образования Амурская государственная медицинская академия Министерства здравоохранения Российской Федерации</w:t>
      </w:r>
    </w:p>
    <w:p>
      <w:pPr>
        <w:pStyle w:val="Style22"/>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Горького, 95 Благовещенск Амурская область 675006</w:t>
      </w:r>
    </w:p>
    <w:p>
      <w:pPr>
        <w:pStyle w:val="Style22"/>
        <w:widowControl w:val="0"/>
        <w:keepNext w:val="0"/>
        <w:keepLines w:val="0"/>
        <w:shd w:val="clear" w:color="auto" w:fill="auto"/>
        <w:bidi w:val="0"/>
        <w:jc w:val="left"/>
        <w:spacing w:before="0" w:after="0" w:line="907" w:lineRule="exact"/>
        <w:ind w:left="20" w:right="0" w:firstLine="0"/>
      </w:pPr>
      <w:r>
        <w:rPr>
          <w:lang w:val="en-US" w:eastAsia="en-US" w:bidi="en-US"/>
          <w:sz w:val="24"/>
          <w:szCs w:val="24"/>
          <w:w w:val="100"/>
          <w:spacing w:val="0"/>
          <w:color w:val="000000"/>
          <w:position w:val="0"/>
        </w:rPr>
        <w:t xml:space="preserve">e-mail: </w:t>
      </w:r>
      <w:r>
        <w:fldChar w:fldCharType="begin"/>
      </w:r>
      <w:r>
        <w:rPr>
          <w:color w:val="000000"/>
        </w:rPr>
        <w:instrText> HYPERLINK "mailto:tender@amursma.su" </w:instrText>
      </w:r>
      <w:r>
        <w:fldChar w:fldCharType="separate"/>
      </w:r>
      <w:r>
        <w:rPr>
          <w:rStyle w:val="Hyperlink"/>
          <w:lang w:val="en-US" w:eastAsia="en-US" w:bidi="en-US"/>
          <w:sz w:val="24"/>
          <w:szCs w:val="24"/>
          <w:w w:val="100"/>
          <w:spacing w:val="0"/>
          <w:position w:val="0"/>
        </w:rPr>
        <w:t>tender@amursma.su</w:t>
      </w:r>
      <w:r>
        <w:fldChar w:fldCharType="end"/>
      </w:r>
      <w:r>
        <w:rPr>
          <w:lang w:val="en-US" w:eastAsia="en-US" w:bidi="en-US"/>
          <w:sz w:val="24"/>
          <w:szCs w:val="24"/>
          <w:w w:val="100"/>
          <w:spacing w:val="0"/>
          <w:color w:val="000000"/>
          <w:position w:val="0"/>
        </w:rPr>
        <w:t xml:space="preserve"> </w:t>
      </w:r>
      <w:r>
        <w:rPr>
          <w:rStyle w:val="CharStyle24"/>
        </w:rPr>
        <w:t>Заявителю:</w:t>
      </w:r>
    </w:p>
    <w:p>
      <w:pPr>
        <w:pStyle w:val="Style22"/>
        <w:widowControl w:val="0"/>
        <w:keepNext w:val="0"/>
        <w:keepLines w:val="0"/>
        <w:shd w:val="clear" w:color="auto" w:fill="auto"/>
        <w:bidi w:val="0"/>
        <w:jc w:val="left"/>
        <w:spacing w:before="0" w:after="236" w:line="298" w:lineRule="exact"/>
        <w:ind w:left="20" w:right="0" w:firstLine="0"/>
      </w:pPr>
      <w:r>
        <w:rPr>
          <w:lang w:val="ru-RU" w:eastAsia="ru-RU" w:bidi="ru-RU"/>
          <w:sz w:val="24"/>
          <w:szCs w:val="24"/>
          <w:w w:val="100"/>
          <w:spacing w:val="0"/>
          <w:color w:val="000000"/>
          <w:position w:val="0"/>
        </w:rPr>
        <w:t>Индивидуальному предпринимателю Лучко Светлане Васильевне</w:t>
      </w:r>
    </w:p>
    <w:p>
      <w:pPr>
        <w:pStyle w:val="Style22"/>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 Кузнецова, 22к1, кв. 176 С анкт-Петер бург 198328</w:t>
      </w:r>
    </w:p>
    <w:p>
      <w:pPr>
        <w:pStyle w:val="Style22"/>
        <w:widowControl w:val="0"/>
        <w:keepNext w:val="0"/>
        <w:keepLines w:val="0"/>
        <w:shd w:val="clear" w:color="auto" w:fill="auto"/>
        <w:bidi w:val="0"/>
        <w:jc w:val="left"/>
        <w:spacing w:before="0" w:after="0" w:line="240" w:lineRule="exact"/>
        <w:ind w:left="20" w:right="0" w:firstLine="0"/>
        <w:sectPr>
          <w:footnotePr>
            <w:pos w:val="pageBottom"/>
            <w:numFmt w:val="decimal"/>
            <w:numRestart w:val="continuous"/>
          </w:footnotePr>
          <w:type w:val="continuous"/>
          <w:pgSz w:w="11906" w:h="16838"/>
          <w:pgMar w:top="595" w:left="807" w:right="1412" w:bottom="345" w:header="0" w:footer="3" w:gutter="0"/>
          <w:rtlGutter w:val="0"/>
          <w:cols w:num="2" w:space="403"/>
          <w:noEndnote/>
          <w:docGrid w:linePitch="360"/>
        </w:sectPr>
      </w:pPr>
      <w:r>
        <w:rPr>
          <w:lang w:val="en-US" w:eastAsia="en-US" w:bidi="en-US"/>
          <w:sz w:val="24"/>
          <w:szCs w:val="24"/>
          <w:w w:val="100"/>
          <w:spacing w:val="0"/>
          <w:color w:val="000000"/>
          <w:position w:val="0"/>
        </w:rPr>
        <w:t xml:space="preserve">e-mail: </w:t>
      </w:r>
      <w:r>
        <w:fldChar w:fldCharType="begin"/>
      </w:r>
      <w:r>
        <w:rPr>
          <w:color w:val="000000"/>
        </w:rPr>
        <w:instrText> HYPERLINK "mailto:ipluchko@gmail.com" </w:instrText>
      </w:r>
      <w:r>
        <w:fldChar w:fldCharType="separate"/>
      </w:r>
      <w:r>
        <w:rPr>
          <w:rStyle w:val="Hyperlink"/>
          <w:lang w:val="en-US" w:eastAsia="en-US" w:bidi="en-US"/>
          <w:sz w:val="24"/>
          <w:szCs w:val="24"/>
          <w:w w:val="100"/>
          <w:spacing w:val="0"/>
          <w:position w:val="0"/>
        </w:rPr>
        <w:t>ipluchko@gmail.com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97" w:after="9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jc w:val="center"/>
        <w:spacing w:before="0" w:after="236" w:line="298" w:lineRule="exact"/>
        <w:ind w:left="440" w:right="0" w:firstLine="0"/>
      </w:pPr>
      <w:r>
        <w:rPr>
          <w:lang w:val="ru-RU" w:eastAsia="ru-RU" w:bidi="ru-RU"/>
          <w:sz w:val="24"/>
          <w:szCs w:val="24"/>
          <w:w w:val="100"/>
          <w:spacing w:val="0"/>
          <w:color w:val="000000"/>
          <w:position w:val="0"/>
        </w:rPr>
        <w:t>РЕШЕНИЕ по делу № 028/06/105-667/2021</w:t>
      </w:r>
    </w:p>
    <w:p>
      <w:pPr>
        <w:pStyle w:val="Style22"/>
        <w:numPr>
          <w:ilvl w:val="0"/>
          <w:numId w:val="1"/>
        </w:numPr>
        <w:tabs>
          <w:tab w:leader="none" w:pos="7518" w:val="left"/>
        </w:tabs>
        <w:widowControl w:val="0"/>
        <w:keepNext w:val="0"/>
        <w:keepLines w:val="0"/>
        <w:shd w:val="clear" w:color="auto" w:fill="auto"/>
        <w:bidi w:val="0"/>
        <w:jc w:val="left"/>
        <w:spacing w:before="0" w:after="244"/>
        <w:ind w:left="20" w:right="440" w:firstLine="0"/>
      </w:pPr>
      <w:r>
        <w:rPr>
          <w:lang w:val="ru-RU" w:eastAsia="ru-RU" w:bidi="ru-RU"/>
          <w:sz w:val="24"/>
          <w:szCs w:val="24"/>
          <w:w w:val="100"/>
          <w:spacing w:val="0"/>
          <w:color w:val="000000"/>
          <w:position w:val="0"/>
        </w:rPr>
        <w:t>г. Благовещенск (в полном объеме изготовлено 16.11.2021)</w:t>
      </w:r>
    </w:p>
    <w:p>
      <w:pPr>
        <w:pStyle w:val="Style22"/>
        <w:widowControl w:val="0"/>
        <w:keepNext w:val="0"/>
        <w:keepLines w:val="0"/>
        <w:shd w:val="clear" w:color="auto" w:fill="auto"/>
        <w:bidi w:val="0"/>
        <w:jc w:val="both"/>
        <w:spacing w:before="0" w:after="0" w:line="298" w:lineRule="exact"/>
        <w:ind w:left="20" w:right="44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Стрелковой Е.В. - главного специалиста-эксперта отдела контроля закупок; Лесковой Ю.П. - ведущего специалиста-эксперта отдела контроля закупок; Левченко И.И. - специалиста-эксперта отдела контроля закупок,</w:t>
      </w:r>
    </w:p>
    <w:p>
      <w:pPr>
        <w:pStyle w:val="Style22"/>
        <w:widowControl w:val="0"/>
        <w:keepNext w:val="0"/>
        <w:keepLines w:val="0"/>
        <w:shd w:val="clear" w:color="auto" w:fill="auto"/>
        <w:bidi w:val="0"/>
        <w:jc w:val="both"/>
        <w:spacing w:before="0" w:after="0" w:line="298" w:lineRule="exact"/>
        <w:ind w:left="20" w:right="440" w:firstLine="720"/>
      </w:pPr>
      <w:r>
        <w:rPr>
          <w:lang w:val="ru-RU" w:eastAsia="ru-RU" w:bidi="ru-RU"/>
          <w:sz w:val="24"/>
          <w:szCs w:val="24"/>
          <w:w w:val="100"/>
          <w:spacing w:val="0"/>
          <w:color w:val="000000"/>
          <w:position w:val="0"/>
        </w:rPr>
        <w:t>в присутствии представителей: от заказчика - Будяковой Н.А., действующей на основании доверенности от 10.11.2021, Верютиной К.А., действующей на основании доверенности от 10.11.2021, Коротких А.В., действующего на основании доверенности от 10.11.2021,</w:t>
      </w:r>
    </w:p>
    <w:p>
      <w:pPr>
        <w:pStyle w:val="Style22"/>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от заявителя - Мацькова В.В., действующего на основании доверенности от</w:t>
      </w:r>
    </w:p>
    <w:p>
      <w:pPr>
        <w:pStyle w:val="Style25"/>
        <w:numPr>
          <w:ilvl w:val="0"/>
          <w:numId w:val="3"/>
        </w:numPr>
        <w:widowControl w:val="0"/>
        <w:keepNext w:val="0"/>
        <w:keepLines w:val="0"/>
        <w:shd w:val="clear" w:color="auto" w:fill="auto"/>
        <w:bidi w:val="0"/>
        <w:jc w:val="left"/>
        <w:spacing w:before="0" w:after="0"/>
        <w:ind w:left="20" w:right="0" w:firstLine="0"/>
      </w:pPr>
      <w:r>
        <w:rPr>
          <w:rStyle w:val="CharStyle27"/>
        </w:rPr>
        <w:t xml:space="preserve"> № </w:t>
      </w:r>
      <w:r>
        <w:rPr>
          <w:lang w:val="ru-RU" w:eastAsia="ru-RU" w:bidi="ru-RU"/>
          <w:w w:val="100"/>
          <w:spacing w:val="0"/>
          <w:color w:val="000000"/>
          <w:position w:val="0"/>
        </w:rPr>
        <w:t>6-20</w:t>
      </w:r>
    </w:p>
    <w:p>
      <w:pPr>
        <w:pStyle w:val="Style22"/>
        <w:widowControl w:val="0"/>
        <w:keepNext w:val="0"/>
        <w:keepLines w:val="0"/>
        <w:shd w:val="clear" w:color="auto" w:fill="auto"/>
        <w:bidi w:val="0"/>
        <w:jc w:val="both"/>
        <w:spacing w:before="0" w:after="826" w:line="298" w:lineRule="exact"/>
        <w:ind w:left="20" w:right="440" w:firstLine="720"/>
      </w:pPr>
      <w:r>
        <w:rPr>
          <w:lang w:val="ru-RU" w:eastAsia="ru-RU" w:bidi="ru-RU"/>
          <w:sz w:val="24"/>
          <w:szCs w:val="24"/>
          <w:w w:val="100"/>
          <w:spacing w:val="0"/>
          <w:color w:val="000000"/>
          <w:position w:val="0"/>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22"/>
        <w:widowControl w:val="0"/>
        <w:keepNext w:val="0"/>
        <w:keepLines w:val="0"/>
        <w:shd w:val="clear" w:color="auto" w:fill="auto"/>
        <w:bidi w:val="0"/>
        <w:jc w:val="right"/>
        <w:spacing w:before="0" w:after="0" w:line="240" w:lineRule="exact"/>
        <w:ind w:left="0" w:right="220" w:firstLine="0"/>
      </w:pPr>
      <w:r>
        <w:rPr>
          <w:lang w:val="ru-RU" w:eastAsia="ru-RU" w:bidi="ru-RU"/>
          <w:sz w:val="24"/>
          <w:szCs w:val="24"/>
          <w:w w:val="100"/>
          <w:spacing w:val="0"/>
          <w:color w:val="000000"/>
          <w:position w:val="0"/>
        </w:rPr>
        <w:t>088498 #</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в связи с угрозой распространения на территории Российской Федерации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в соответствии со статьей 14 Федерального закона от 21 декабря 1994 г. № 68-ФЗ «О защите населения и территорий от чрезвычайных ситуаций природного и техногенного характера», а также в целях обеспечения соблюдения положений Федерального закона от 30 марта 1999 г. № 52-ФЗ «О санитарно-эпидемиологическом благополучии населения», постановлений Главного государственного санитарного врача Российской Федерации от 24 января 2020 г. № 2 «О дополнительных мероприятиях по недопущению завоза и распространения новой коронавирусной инфекции, вызванной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от 2 марта 2020 г. № 5 «О дополнительных мерах по снижению рисков завоза и распространения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заседание Комиссии Амурского У ФАС России осуществлено в дистанционном режиме, без очного участия представителей заинтересованных сторон,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рассмотрела поступившую в Амурское У ФАС России жалобу от индивидуального предпринимателя Лучко Светланы Васильевны на действия государственного заказчика - Федерального государственного бюджетного образовательного учреждения высшего образования Амурская государственная медицинская академия Министерства здравоохранения Российской Федерации (далее - ФГБОУ ВО Амурская ГМА Минздрава России) при осуществлении закупки в форме электронного аукциона на поставку расходных материалов для стентирования сонных артерий, объявленной извещением от 21Л0.2021 № 0323100000421000107 на электронной площадке АО «ЕЭТП» </w:t>
      </w:r>
      <w:r>
        <w:fldChar w:fldCharType="begin"/>
      </w:r>
      <w:r>
        <w:rPr>
          <w:color w:val="000000"/>
        </w:rPr>
        <w:instrText> HYPERLINK "http://roseltorg.ru" </w:instrText>
      </w:r>
      <w:r>
        <w:fldChar w:fldCharType="separate"/>
      </w:r>
      <w:r>
        <w:rPr>
          <w:rStyle w:val="Hyperlink"/>
          <w:lang w:val="en-US" w:eastAsia="en-US" w:bidi="en-US"/>
          <w:sz w:val="24"/>
          <w:szCs w:val="24"/>
          <w:w w:val="100"/>
          <w:spacing w:val="0"/>
          <w:position w:val="0"/>
        </w:rPr>
        <w:t>http</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roseltorg</w:t>
      </w:r>
      <w:r>
        <w:rPr>
          <w:rStyle w:val="Hyperlink"/>
          <w:lang w:val="ru-RU" w:eastAsia="ru-RU" w:bidi="ru-RU"/>
          <w:sz w:val="24"/>
          <w:szCs w:val="24"/>
          <w:w w:val="100"/>
          <w:spacing w:val="0"/>
          <w:position w:val="0"/>
        </w:rPr>
        <w:t>.</w:t>
      </w:r>
      <w:r>
        <w:rPr>
          <w:rStyle w:val="Hyperlink"/>
          <w:lang w:val="en-US" w:eastAsia="en-US" w:bidi="en-US"/>
          <w:sz w:val="24"/>
          <w:szCs w:val="24"/>
          <w:w w:val="100"/>
          <w:spacing w:val="0"/>
          <w:position w:val="0"/>
        </w:rPr>
        <w:t>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жалобы заявителя следует, что аукционная документация не соответствует требованиям законодательства.</w:t>
      </w:r>
    </w:p>
    <w:p>
      <w:pPr>
        <w:pStyle w:val="Style22"/>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Представители заказчика поддержали доводы, изложенные в своей письменной позиции, просили признать жалобу необоснованной.</w:t>
      </w:r>
    </w:p>
    <w:p>
      <w:pPr>
        <w:pStyle w:val="Style22"/>
        <w:widowControl w:val="0"/>
        <w:keepNext w:val="0"/>
        <w:keepLines w:val="0"/>
        <w:shd w:val="clear" w:color="auto" w:fill="auto"/>
        <w:bidi w:val="0"/>
        <w:jc w:val="both"/>
        <w:spacing w:before="0" w:after="286" w:line="298" w:lineRule="exact"/>
        <w:ind w:left="20" w:right="20" w:firstLine="70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22"/>
        <w:widowControl w:val="0"/>
        <w:keepNext w:val="0"/>
        <w:keepLines w:val="0"/>
        <w:shd w:val="clear" w:color="auto" w:fill="auto"/>
        <w:bidi w:val="0"/>
        <w:jc w:val="center"/>
        <w:spacing w:before="0" w:after="280" w:line="240" w:lineRule="exact"/>
        <w:ind w:left="0" w:right="0" w:firstLine="0"/>
      </w:pPr>
      <w:r>
        <w:rPr>
          <w:lang w:val="ru-RU" w:eastAsia="ru-RU" w:bidi="ru-RU"/>
          <w:sz w:val="24"/>
          <w:szCs w:val="24"/>
          <w:w w:val="100"/>
          <w:spacing w:val="0"/>
          <w:color w:val="000000"/>
          <w:position w:val="0"/>
        </w:rPr>
        <w:t>УСТАНОВИЛА:</w:t>
      </w:r>
    </w:p>
    <w:p>
      <w:pPr>
        <w:pStyle w:val="Style22"/>
        <w:numPr>
          <w:ilvl w:val="0"/>
          <w:numId w:val="5"/>
        </w:numPr>
        <w:tabs>
          <w:tab w:leader="none" w:pos="2008" w:val="left"/>
        </w:tabs>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заказчиком - ФГБОУ ВО Амурская ГМА Минздрава России на электронной площадке АО «ЕЭТП» </w:t>
      </w:r>
      <w:r>
        <w:fldChar w:fldCharType="begin"/>
      </w:r>
      <w:r>
        <w:rPr>
          <w:color w:val="000000"/>
        </w:rPr>
        <w:instrText> HYPERLINK "http://roseltorg.ru" </w:instrText>
      </w:r>
      <w:r>
        <w:fldChar w:fldCharType="separate"/>
      </w:r>
      <w:r>
        <w:rPr>
          <w:rStyle w:val="Hyperlink"/>
          <w:lang w:val="en-US" w:eastAsia="en-US" w:bidi="en-US"/>
          <w:sz w:val="24"/>
          <w:szCs w:val="24"/>
          <w:w w:val="100"/>
          <w:spacing w:val="0"/>
          <w:position w:val="0"/>
        </w:rPr>
        <w:t>http://roseltorg.ru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 0323100000421000107 о проведении электронного аукциона на поставку расходных материалов для стентирования сонных артерий.</w:t>
      </w:r>
    </w:p>
    <w:p>
      <w:pPr>
        <w:pStyle w:val="Style22"/>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rPr>
          <w:lang w:val="en-US" w:eastAsia="en-US" w:bidi="en-US"/>
          <w:sz w:val="24"/>
          <w:szCs w:val="24"/>
          <w:w w:val="100"/>
          <w:spacing w:val="0"/>
          <w:color w:val="000000"/>
          <w:position w:val="0"/>
        </w:rPr>
        <w:t>www</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zakupki</w:t>
      </w: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gov .ru</w:t>
      </w:r>
      <w:r>
        <w:rPr>
          <w:lang w:val="ru-RU" w:eastAsia="ru-RU" w:bidi="ru-RU"/>
          <w:sz w:val="24"/>
          <w:szCs w:val="24"/>
          <w:w w:val="100"/>
          <w:spacing w:val="0"/>
          <w:color w:val="000000"/>
          <w:position w:val="0"/>
        </w:rPr>
        <w:t>.</w:t>
      </w:r>
    </w:p>
    <w:p>
      <w:pPr>
        <w:pStyle w:val="Style22"/>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Начальная (максимальная) цена контракта установлена в размере 1 287 034,73 рублей.</w:t>
      </w:r>
    </w:p>
    <w:p>
      <w:pPr>
        <w:pStyle w:val="Style22"/>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Дата и время начала подачи заявок - 21.10.2021 с 15:54, дата и время окончания подачи заявок - 29.10.2021 в 08:00, дата окончания срока рассмотрения заявок на участие в электронном аукционе - 29.10.2021, дата проведения аукциона в электронной форме -01.11.2021.</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Пунктом 1 части 1 статьи 33 Закона о контрактной системе установлено, что заказчиком при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пункту 2 части 1 статьи 33 Закона о контрактной системе заказчиком при описании объекта закупки указывается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22"/>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Согласно постановлению Президиума Высшего Арбитражного Суда Российской Федерации от 28.12.2010 № 11017/10 по делу №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 При этом заказчик вправе в необходимой степени детализировать объект закупки. Включение в документацию о торгах условий, которые в итоге приводят к исключению из круга участников размещения заказа лиц, не отвечающих таким целям, не может рассматриваться как ограничение доступа к участию в торгах.</w:t>
      </w:r>
    </w:p>
    <w:p>
      <w:pPr>
        <w:pStyle w:val="Style22"/>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Законодательство о контрактной системе допускает самостоятельное формирование заказчиком своей закупки, исходя из потребностей последнего. При описании товара заказчик вправе указывать характеристики товара, требования к объекту закупок, которые являются определяющими для него, он не лишен возможности более точно и четко указывать требования к закупаемому товару. Указанный вывод подтверждается и позицией Верховного суда Российской Федерации, изложенной в пункте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Российской Федерации 28.06.2017), в соответствии с которым указание заказчиком в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pPr>
        <w:pStyle w:val="Style22"/>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Таким образом, Заказчик при формировании технического задания вправе в необходимой степени детализировать объект закупки, определяя характеристики закупаемого товара, которые будут иметь существенное значение для последующего использования товара в специфике его деятельности и в целях обеспечения эффективного использования бюджетных средств.</w:t>
      </w:r>
    </w:p>
    <w:p>
      <w:pPr>
        <w:pStyle w:val="Style22"/>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Согласно пункту 16 информационной карты аукционной документации предметом электронного аукциона является поставка расходных материалов для стентирования сонных артерий.</w:t>
      </w:r>
    </w:p>
    <w:p>
      <w:pPr>
        <w:pStyle w:val="Style22"/>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В позиции 11 описания объекта закупки раздела III аукционной документации установлено, что к поставке подлежит микрокатетер для периферических/коронарных сосудов со следующими характеристиками:</w:t>
      </w:r>
    </w:p>
    <w:p>
      <w:pPr>
        <w:pStyle w:val="Style22"/>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1 .Однопросветный микрокатетер, наличие оплётки, изменяемая жесткость шафта: соответствие;</w:t>
      </w:r>
    </w:p>
    <w:p>
      <w:pPr>
        <w:pStyle w:val="Style22"/>
        <w:widowControl w:val="0"/>
        <w:keepNext w:val="0"/>
        <w:keepLines w:val="0"/>
        <w:shd w:val="clear" w:color="auto" w:fill="auto"/>
        <w:bidi w:val="0"/>
        <w:jc w:val="both"/>
        <w:spacing w:before="0" w:after="0" w:line="298" w:lineRule="exact"/>
        <w:ind w:left="40" w:right="0" w:firstLine="700"/>
      </w:pPr>
      <w:r>
        <w:rPr>
          <w:lang w:val="ru-RU" w:eastAsia="ru-RU" w:bidi="ru-RU"/>
          <w:sz w:val="24"/>
          <w:szCs w:val="24"/>
          <w:w w:val="100"/>
          <w:spacing w:val="0"/>
          <w:color w:val="000000"/>
          <w:position w:val="0"/>
        </w:rPr>
        <w:t>2.Рентгенконтрастный маркер на дистальном конце микрокатетера: наличие;</w:t>
      </w:r>
    </w:p>
    <w:p>
      <w:pPr>
        <w:pStyle w:val="Style22"/>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3 .Хаб под люэровский наконечник на проксимальном конце микрокатетера: наличие;</w:t>
      </w:r>
    </w:p>
    <w:p>
      <w:pPr>
        <w:pStyle w:val="Style22"/>
        <w:numPr>
          <w:ilvl w:val="0"/>
          <w:numId w:val="7"/>
        </w:numPr>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Гидрофильное покрытие микрокатетера: наличие;</w:t>
      </w:r>
    </w:p>
    <w:p>
      <w:pPr>
        <w:pStyle w:val="Style22"/>
        <w:numPr>
          <w:ilvl w:val="0"/>
          <w:numId w:val="7"/>
        </w:numPr>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Внутренний диаметр микрокатетера, дюйм: 0,027;</w:t>
      </w:r>
    </w:p>
    <w:p>
      <w:pPr>
        <w:pStyle w:val="Style22"/>
        <w:numPr>
          <w:ilvl w:val="0"/>
          <w:numId w:val="7"/>
        </w:numPr>
        <w:widowControl w:val="0"/>
        <w:keepNext w:val="0"/>
        <w:keepLines w:val="0"/>
        <w:shd w:val="clear" w:color="auto" w:fill="auto"/>
        <w:bidi w:val="0"/>
        <w:jc w:val="both"/>
        <w:spacing w:before="0" w:after="0" w:line="293" w:lineRule="exact"/>
        <w:ind w:left="40" w:right="0" w:firstLine="700"/>
      </w:pPr>
      <w:r>
        <w:rPr>
          <w:lang w:val="ru-RU" w:eastAsia="ru-RU" w:bidi="ru-RU"/>
          <w:sz w:val="24"/>
          <w:szCs w:val="24"/>
          <w:w w:val="100"/>
          <w:spacing w:val="0"/>
          <w:color w:val="000000"/>
          <w:position w:val="0"/>
        </w:rPr>
        <w:t>Рабочая длина микрокатетера, см: не менее 150 и не более 155;</w:t>
      </w:r>
    </w:p>
    <w:p>
      <w:pPr>
        <w:pStyle w:val="Style22"/>
        <w:numPr>
          <w:ilvl w:val="0"/>
          <w:numId w:val="7"/>
        </w:numPr>
        <w:widowControl w:val="0"/>
        <w:keepNext w:val="0"/>
        <w:keepLines w:val="0"/>
        <w:shd w:val="clear" w:color="auto" w:fill="auto"/>
        <w:bidi w:val="0"/>
        <w:jc w:val="both"/>
        <w:spacing w:before="0" w:after="0" w:line="274" w:lineRule="exact"/>
        <w:ind w:left="40" w:right="20" w:firstLine="700"/>
      </w:pPr>
      <w:r>
        <w:rPr>
          <w:lang w:val="ru-RU" w:eastAsia="ru-RU" w:bidi="ru-RU"/>
          <w:sz w:val="24"/>
          <w:szCs w:val="24"/>
          <w:w w:val="100"/>
          <w:spacing w:val="0"/>
          <w:color w:val="000000"/>
          <w:position w:val="0"/>
        </w:rPr>
        <w:t xml:space="preserve">Внешний диаметр проксимального конца микрокатетера, </w:t>
      </w:r>
      <w:r>
        <w:rPr>
          <w:lang w:val="en-US" w:eastAsia="en-US" w:bidi="en-US"/>
          <w:sz w:val="24"/>
          <w:szCs w:val="24"/>
          <w:w w:val="100"/>
          <w:spacing w:val="0"/>
          <w:color w:val="000000"/>
          <w:position w:val="0"/>
        </w:rPr>
        <w:t xml:space="preserve">Fr: </w:t>
      </w:r>
      <w:r>
        <w:rPr>
          <w:lang w:val="ru-RU" w:eastAsia="ru-RU" w:bidi="ru-RU"/>
          <w:sz w:val="24"/>
          <w:szCs w:val="24"/>
          <w:w w:val="100"/>
          <w:spacing w:val="0"/>
          <w:color w:val="000000"/>
          <w:position w:val="0"/>
        </w:rPr>
        <w:t xml:space="preserve">не менее 2,8 </w:t>
      </w:r>
      <w:r>
        <w:rPr>
          <w:lang w:val="en-US" w:eastAsia="en-US" w:bidi="en-US"/>
          <w:sz w:val="24"/>
          <w:szCs w:val="24"/>
          <w:w w:val="100"/>
          <w:spacing w:val="0"/>
          <w:color w:val="000000"/>
          <w:position w:val="0"/>
        </w:rPr>
        <w:t xml:space="preserve">Fr </w:t>
      </w:r>
      <w:r>
        <w:rPr>
          <w:lang w:val="ru-RU" w:eastAsia="ru-RU" w:bidi="ru-RU"/>
          <w:sz w:val="24"/>
          <w:szCs w:val="24"/>
          <w:w w:val="100"/>
          <w:spacing w:val="0"/>
          <w:color w:val="000000"/>
          <w:position w:val="0"/>
        </w:rPr>
        <w:t xml:space="preserve">и не более 2,9 </w:t>
      </w:r>
      <w:r>
        <w:rPr>
          <w:lang w:val="en-US" w:eastAsia="en-US" w:bidi="en-US"/>
          <w:sz w:val="24"/>
          <w:szCs w:val="24"/>
          <w:w w:val="100"/>
          <w:spacing w:val="0"/>
          <w:color w:val="000000"/>
          <w:position w:val="0"/>
        </w:rPr>
        <w:t>Fr;</w:t>
      </w:r>
    </w:p>
    <w:p>
      <w:pPr>
        <w:pStyle w:val="Style22"/>
        <w:numPr>
          <w:ilvl w:val="0"/>
          <w:numId w:val="7"/>
        </w:numPr>
        <w:tabs>
          <w:tab w:leader="none" w:pos="2094" w:val="left"/>
        </w:tabs>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Внешний диаметр дистального конца микрокатетера, </w:t>
      </w:r>
      <w:r>
        <w:rPr>
          <w:lang w:val="en-US" w:eastAsia="en-US" w:bidi="en-US"/>
          <w:sz w:val="24"/>
          <w:szCs w:val="24"/>
          <w:w w:val="100"/>
          <w:spacing w:val="0"/>
          <w:color w:val="000000"/>
          <w:position w:val="0"/>
        </w:rPr>
        <w:t xml:space="preserve">Fr: </w:t>
      </w:r>
      <w:r>
        <w:rPr>
          <w:lang w:val="ru-RU" w:eastAsia="ru-RU" w:bidi="ru-RU"/>
          <w:sz w:val="24"/>
          <w:szCs w:val="24"/>
          <w:w w:val="100"/>
          <w:spacing w:val="0"/>
          <w:color w:val="000000"/>
          <w:position w:val="0"/>
        </w:rPr>
        <w:t xml:space="preserve">дистальный не менее 2,7 </w:t>
      </w:r>
      <w:r>
        <w:rPr>
          <w:lang w:val="en-US" w:eastAsia="en-US" w:bidi="en-US"/>
          <w:sz w:val="24"/>
          <w:szCs w:val="24"/>
          <w:w w:val="100"/>
          <w:spacing w:val="0"/>
          <w:color w:val="000000"/>
          <w:position w:val="0"/>
        </w:rPr>
        <w:t xml:space="preserve">Fr </w:t>
      </w:r>
      <w:r>
        <w:rPr>
          <w:lang w:val="ru-RU" w:eastAsia="ru-RU" w:bidi="ru-RU"/>
          <w:sz w:val="24"/>
          <w:szCs w:val="24"/>
          <w:w w:val="100"/>
          <w:spacing w:val="0"/>
          <w:color w:val="000000"/>
          <w:position w:val="0"/>
        </w:rPr>
        <w:t xml:space="preserve">и не более 2,8 </w:t>
      </w:r>
      <w:r>
        <w:rPr>
          <w:lang w:val="en-US" w:eastAsia="en-US" w:bidi="en-US"/>
          <w:sz w:val="24"/>
          <w:szCs w:val="24"/>
          <w:w w:val="100"/>
          <w:spacing w:val="0"/>
          <w:color w:val="000000"/>
          <w:position w:val="0"/>
        </w:rPr>
        <w:t>Fr.</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Заявитель жалобы указывает, что заказчик в позиции 11 описания объекта закупки сформировал технические характеристики под товар единственного производителя - микрокатетер </w:t>
      </w:r>
      <w:r>
        <w:rPr>
          <w:lang w:val="en-US" w:eastAsia="en-US" w:bidi="en-US"/>
          <w:sz w:val="24"/>
          <w:szCs w:val="24"/>
          <w:w w:val="100"/>
          <w:spacing w:val="0"/>
          <w:color w:val="000000"/>
          <w:position w:val="0"/>
        </w:rPr>
        <w:t xml:space="preserve">Excelsior </w:t>
      </w:r>
      <w:r>
        <w:rPr>
          <w:lang w:val="ru-RU" w:eastAsia="ru-RU" w:bidi="ru-RU"/>
          <w:sz w:val="24"/>
          <w:szCs w:val="24"/>
          <w:w w:val="100"/>
          <w:spacing w:val="0"/>
          <w:color w:val="000000"/>
          <w:position w:val="0"/>
        </w:rPr>
        <w:t>ХТ-27 производителя «Страйкер Нейроваскьюлар», США.</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Из имеющихся в материалах дела документов, представленных Заказчиком, следует, что расчет начальной (максимальной) цены договора осуществлен с применением метода сопоставимых рыночных цен (анализа рынка) и на основе информации, содержащейся в реестре контрактов. При проведении мониторинга учитывались данные коммерческих предложений.</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Так, ООО «Алмедика» письмом от 04.08.2021 № 26.21 предложен к поставке микрокатетер производства </w:t>
      </w:r>
      <w:r>
        <w:rPr>
          <w:lang w:val="en-US" w:eastAsia="en-US" w:bidi="en-US"/>
          <w:sz w:val="24"/>
          <w:szCs w:val="24"/>
          <w:w w:val="100"/>
          <w:spacing w:val="0"/>
          <w:color w:val="000000"/>
          <w:position w:val="0"/>
        </w:rPr>
        <w:t>Direxion HIFLO Boston Scientific.</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ООО «ТрансМед» предложен к поставке микрокатетер производства </w:t>
      </w:r>
      <w:r>
        <w:rPr>
          <w:lang w:val="en-US" w:eastAsia="en-US" w:bidi="en-US"/>
          <w:sz w:val="24"/>
          <w:szCs w:val="24"/>
          <w:w w:val="100"/>
          <w:spacing w:val="0"/>
          <w:color w:val="000000"/>
          <w:position w:val="0"/>
        </w:rPr>
        <w:t>Medtronic.</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ООО «СТЕНТДИС» предложен к поставке микрокатетер производства Страйкер Нейроваскуляр.</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Комиссия Амурского У ФАС России приходит к выводу, что совокупность требований к расходным материалам для стентирования сонных артерий, перечисленных в документации об аукционе, соответствует характеристикам, как минимум трех различных торговых производителей, при этом НМЦК сформирована Заказчиком в соответствии с частью 1 статьи 22 Закона о контрактной системе.</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Письмо от 17.07.2020 № 72 ООО «Кардиомедикс», предоставленное заявителем жалобы, не указывает, что описание предмета закупки подходит под единственного производителя.</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Следовательно, довод заявителя об установлении в описании объекта закупки требований к товару (в частности, к микрокатетеру для периферических/коронарных сосудов), которым соответствует единственный производитель товаров, не подтверждается материалами дела.</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На основании вышеизложенного, Комиссия Амурского У ФАС России приходит к выводу, что нарушение статьи 33 Закона о контрактной системе в действиях Заказчика отсутствует.</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Таким образом, учитывая, что, исходя из смысла пункта 1 части 1, части 2 статьи 33 Закона о контрактной системе потребности заказчика являются определяющим фактором при установлении им соответствующих требований, а также учитывая отсутствие в материалах однозначных доказательств, свидетельствующих о соответствии требованиям объекта закупки единственному производителю, Комиссия Амурского У ФАС России приходит к выводу, что нарушения статьи 33 Закона о контрактной системе в действиях Заказчика отсутствуют.</w:t>
      </w:r>
    </w:p>
    <w:p>
      <w:pPr>
        <w:pStyle w:val="Style22"/>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Индивидуальный предприниматель Лучко С.В. не направила в адрес антимонопольного управления доказательств невозможности подачи заявки на участие в рассматриваемом аукционе, как и не воспользовалось своим правом на подачу запроса о даче разъяснений положений документации об аукционе с номером извещения 0323100000421000107.</w:t>
      </w:r>
    </w:p>
    <w:p>
      <w:pPr>
        <w:pStyle w:val="Style22"/>
        <w:widowControl w:val="0"/>
        <w:keepNext w:val="0"/>
        <w:keepLines w:val="0"/>
        <w:shd w:val="clear" w:color="auto" w:fill="auto"/>
        <w:bidi w:val="0"/>
        <w:jc w:val="both"/>
        <w:spacing w:before="0" w:after="302" w:line="298" w:lineRule="exact"/>
        <w:ind w:left="20" w:right="20" w:firstLine="700"/>
      </w:pPr>
      <w:r>
        <w:rPr>
          <w:lang w:val="ru-RU" w:eastAsia="ru-RU" w:bidi="ru-RU"/>
          <w:sz w:val="24"/>
          <w:szCs w:val="24"/>
          <w:w w:val="100"/>
          <w:spacing w:val="0"/>
          <w:color w:val="000000"/>
          <w:position w:val="0"/>
        </w:rPr>
        <w:t>Рассмотрев жалобу индивидуального предпринимателя Лучко С.В., руководствуясь пунктом 1 части 3, части 15 статьи 99, части 8 статьи 106 Закона о контрактной системе, Приказом ФАС России от 19Л 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28"/>
        <w:widowControl w:val="0"/>
        <w:keepNext w:val="0"/>
        <w:keepLines w:val="0"/>
        <w:shd w:val="clear" w:color="auto" w:fill="auto"/>
        <w:bidi w:val="0"/>
        <w:jc w:val="left"/>
        <w:spacing w:before="0" w:after="279" w:line="220" w:lineRule="exact"/>
        <w:ind w:left="4180" w:right="0" w:firstLine="0"/>
      </w:pPr>
      <w:r>
        <w:rPr>
          <w:lang w:val="ru-RU" w:eastAsia="ru-RU" w:bidi="ru-RU"/>
          <w:w w:val="100"/>
          <w:color w:val="000000"/>
          <w:position w:val="0"/>
        </w:rPr>
        <w:t>РЕШЕНИЕ:</w:t>
      </w:r>
    </w:p>
    <w:p>
      <w:pPr>
        <w:pStyle w:val="Style22"/>
        <w:widowControl w:val="0"/>
        <w:keepNext w:val="0"/>
        <w:keepLines w:val="0"/>
        <w:shd w:val="clear" w:color="auto" w:fill="auto"/>
        <w:bidi w:val="0"/>
        <w:jc w:val="both"/>
        <w:spacing w:before="0" w:after="240" w:line="293" w:lineRule="exact"/>
        <w:ind w:left="20" w:right="20" w:firstLine="700"/>
      </w:pPr>
      <w:r>
        <w:rPr>
          <w:lang w:val="ru-RU" w:eastAsia="ru-RU" w:bidi="ru-RU"/>
          <w:sz w:val="24"/>
          <w:szCs w:val="24"/>
          <w:w w:val="100"/>
          <w:spacing w:val="0"/>
          <w:color w:val="000000"/>
          <w:position w:val="0"/>
        </w:rPr>
        <w:t>Признать жалобу индивидуального предпринимателя Лучко Светланы Васильевны необоснованной.</w:t>
      </w:r>
    </w:p>
    <w:p>
      <w:pPr>
        <w:pStyle w:val="Style22"/>
        <w:widowControl w:val="0"/>
        <w:keepNext w:val="0"/>
        <w:keepLines w:val="0"/>
        <w:shd w:val="clear" w:color="auto" w:fill="auto"/>
        <w:bidi w:val="0"/>
        <w:jc w:val="both"/>
        <w:spacing w:before="0" w:after="0" w:line="293" w:lineRule="exact"/>
        <w:ind w:left="20" w:right="20" w:firstLine="70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22"/>
        <w:widowControl w:val="0"/>
        <w:keepNext w:val="0"/>
        <w:keepLines w:val="0"/>
        <w:shd w:val="clear" w:color="auto" w:fill="auto"/>
        <w:bidi w:val="0"/>
        <w:jc w:val="left"/>
        <w:spacing w:before="0" w:after="0" w:line="240" w:lineRule="exact"/>
        <w:ind w:left="20" w:right="0" w:firstLine="0"/>
        <w:sectPr>
          <w:type w:val="continuous"/>
          <w:pgSz w:w="11906" w:h="16838"/>
          <w:pgMar w:top="980" w:left="807" w:right="807" w:bottom="730" w:header="0" w:footer="3" w:gutter="499"/>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before="67" w:after="6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2"/>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Члены Комиссии:</w:t>
      </w:r>
    </w:p>
    <w:sectPr>
      <w:type w:val="continuous"/>
      <w:pgSz w:w="11906" w:h="16838"/>
      <w:pgMar w:top="3912" w:left="1270" w:right="8398" w:bottom="503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4"/>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 11 pt,Не полужирный,Интервал 0 pt"/>
    <w:basedOn w:val="CharStyle4"/>
    <w:rPr>
      <w:lang w:val="ru-RU" w:eastAsia="ru-RU" w:bidi="ru-RU"/>
      <w:b/>
      <w:bCs/>
      <w:sz w:val="22"/>
      <w:szCs w:val="22"/>
      <w:w w:val="100"/>
      <w:spacing w:val="1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4)_"/>
    <w:basedOn w:val="DefaultParagraphFont"/>
    <w:link w:val="Style8"/>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0">
    <w:name w:val="Основной текст (4) + 10,5 pt,Полужирный,Интервал 0 pt"/>
    <w:basedOn w:val="CharStyle9"/>
    <w:rPr>
      <w:lang w:val="ru-RU" w:eastAsia="ru-RU" w:bidi="ru-RU"/>
      <w:b/>
      <w:bCs/>
      <w:sz w:val="21"/>
      <w:szCs w:val="21"/>
      <w:w w:val="100"/>
      <w:spacing w:val="0"/>
      <w:color w:val="000000"/>
      <w:position w:val="0"/>
    </w:rPr>
  </w:style>
  <w:style w:type="character" w:customStyle="1" w:styleId="CharStyle12">
    <w:name w:val="Основной текст (5)_"/>
    <w:basedOn w:val="DefaultParagraphFont"/>
    <w:link w:val="Style11"/>
    <w:rPr>
      <w:b/>
      <w:bCs/>
      <w:i w:val="0"/>
      <w:iCs w:val="0"/>
      <w:u w:val="none"/>
      <w:strike w:val="0"/>
      <w:smallCaps w:val="0"/>
      <w:sz w:val="16"/>
      <w:szCs w:val="16"/>
      <w:rFonts w:ascii="Times New Roman" w:eastAsia="Times New Roman" w:hAnsi="Times New Roman" w:cs="Times New Roman"/>
      <w:spacing w:val="10"/>
    </w:rPr>
  </w:style>
  <w:style w:type="character" w:customStyle="1" w:styleId="CharStyle13">
    <w:name w:val="Основной текст (5) + 7,5 pt,Не полужирный"/>
    <w:basedOn w:val="CharStyle12"/>
    <w:rPr>
      <w:lang w:val="ru-RU" w:eastAsia="ru-RU" w:bidi="ru-RU"/>
      <w:b/>
      <w:bCs/>
      <w:sz w:val="15"/>
      <w:szCs w:val="15"/>
      <w:w w:val="100"/>
      <w:color w:val="000000"/>
      <w:position w:val="0"/>
    </w:rPr>
  </w:style>
  <w:style w:type="character" w:customStyle="1" w:styleId="CharStyle14">
    <w:name w:val="Основной текст (5) + Не полужирный"/>
    <w:basedOn w:val="CharStyle12"/>
    <w:rPr>
      <w:lang w:val="ru-RU" w:eastAsia="ru-RU" w:bidi="ru-RU"/>
      <w:b/>
      <w:bCs/>
      <w:w w:val="100"/>
      <w:color w:val="000000"/>
      <w:position w:val="0"/>
    </w:rPr>
  </w:style>
  <w:style w:type="character" w:customStyle="1" w:styleId="CharStyle15">
    <w:name w:val="Основной текст (5) + Не полужирный,Интервал 0 pt"/>
    <w:basedOn w:val="CharStyle12"/>
    <w:rPr>
      <w:lang w:val="en-US" w:eastAsia="en-US" w:bidi="en-US"/>
      <w:b/>
      <w:bCs/>
      <w:w w:val="100"/>
      <w:spacing w:val="0"/>
      <w:color w:val="000000"/>
      <w:position w:val="0"/>
    </w:rPr>
  </w:style>
  <w:style w:type="character" w:customStyle="1" w:styleId="CharStyle17">
    <w:name w:val="Заголовок №1_"/>
    <w:basedOn w:val="DefaultParagraphFont"/>
    <w:link w:val="Style16"/>
    <w:rPr>
      <w:b/>
      <w:bCs/>
      <w:i w:val="0"/>
      <w:iCs w:val="0"/>
      <w:u w:val="none"/>
      <w:strike w:val="0"/>
      <w:smallCaps w:val="0"/>
      <w:sz w:val="26"/>
      <w:szCs w:val="26"/>
      <w:rFonts w:ascii="Times New Roman" w:eastAsia="Times New Roman" w:hAnsi="Times New Roman" w:cs="Times New Roman"/>
      <w:w w:val="60"/>
      <w:spacing w:val="10"/>
    </w:rPr>
  </w:style>
  <w:style w:type="character" w:customStyle="1" w:styleId="CharStyle18">
    <w:name w:val="Заголовок №1"/>
    <w:basedOn w:val="CharStyle17"/>
    <w:rPr>
      <w:lang w:val="ru-RU" w:eastAsia="ru-RU" w:bidi="ru-RU"/>
      <w:u w:val="single"/>
      <w:color w:val="000000"/>
      <w:position w:val="0"/>
    </w:rPr>
  </w:style>
  <w:style w:type="character" w:customStyle="1" w:styleId="CharStyle19">
    <w:name w:val="Основной текст (5) + 11 pt,Не полужирный"/>
    <w:basedOn w:val="CharStyle12"/>
    <w:rPr>
      <w:lang w:val="ru-RU" w:eastAsia="ru-RU" w:bidi="ru-RU"/>
      <w:b/>
      <w:bCs/>
      <w:sz w:val="22"/>
      <w:szCs w:val="22"/>
      <w:w w:val="100"/>
      <w:color w:val="000000"/>
      <w:position w:val="0"/>
    </w:rPr>
  </w:style>
  <w:style w:type="character" w:customStyle="1" w:styleId="CharStyle21">
    <w:name w:val="Основной текст (6)_"/>
    <w:basedOn w:val="DefaultParagraphFont"/>
    <w:link w:val="Style20"/>
    <w:rPr>
      <w:b/>
      <w:bCs/>
      <w:i w:val="0"/>
      <w:iCs w:val="0"/>
      <w:u w:val="none"/>
      <w:strike w:val="0"/>
      <w:smallCaps w:val="0"/>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rFonts w:ascii="Times New Roman" w:eastAsia="Times New Roman" w:hAnsi="Times New Roman" w:cs="Times New Roman"/>
    </w:rPr>
  </w:style>
  <w:style w:type="character" w:customStyle="1" w:styleId="CharStyle24">
    <w:name w:val="Основной текст + Полужирный"/>
    <w:basedOn w:val="CharStyle23"/>
    <w:rPr>
      <w:lang w:val="ru-RU" w:eastAsia="ru-RU" w:bidi="ru-RU"/>
      <w:b/>
      <w:bCs/>
      <w:sz w:val="24"/>
      <w:szCs w:val="24"/>
      <w:w w:val="100"/>
      <w:spacing w:val="0"/>
      <w:color w:val="000000"/>
      <w:position w:val="0"/>
    </w:rPr>
  </w:style>
  <w:style w:type="character" w:customStyle="1" w:styleId="CharStyle26">
    <w:name w:val="Основной текст (7)_"/>
    <w:basedOn w:val="DefaultParagraphFont"/>
    <w:link w:val="Style25"/>
    <w:rPr>
      <w:b w:val="0"/>
      <w:bCs w:val="0"/>
      <w:i w:val="0"/>
      <w:iCs w:val="0"/>
      <w:u w:val="none"/>
      <w:strike w:val="0"/>
      <w:smallCaps w:val="0"/>
      <w:sz w:val="23"/>
      <w:szCs w:val="23"/>
      <w:rFonts w:ascii="Times New Roman" w:eastAsia="Times New Roman" w:hAnsi="Times New Roman" w:cs="Times New Roman"/>
    </w:rPr>
  </w:style>
  <w:style w:type="character" w:customStyle="1" w:styleId="CharStyle27">
    <w:name w:val="Основной текст (7) + 11 pt"/>
    <w:basedOn w:val="CharStyle26"/>
    <w:rPr>
      <w:lang w:val="ru-RU" w:eastAsia="ru-RU" w:bidi="ru-RU"/>
      <w:sz w:val="22"/>
      <w:szCs w:val="22"/>
      <w:w w:val="100"/>
      <w:spacing w:val="0"/>
      <w:color w:val="000000"/>
      <w:position w:val="0"/>
    </w:rPr>
  </w:style>
  <w:style w:type="character" w:customStyle="1" w:styleId="CharStyle29">
    <w:name w:val="Основной текст (8)_"/>
    <w:basedOn w:val="DefaultParagraphFont"/>
    <w:link w:val="Style28"/>
    <w:rPr>
      <w:b w:val="0"/>
      <w:bCs w:val="0"/>
      <w:i w:val="0"/>
      <w:iCs w:val="0"/>
      <w:u w:val="none"/>
      <w:strike w:val="0"/>
      <w:smallCaps w:val="0"/>
      <w:sz w:val="22"/>
      <w:szCs w:val="22"/>
      <w:rFonts w:ascii="Times New Roman" w:eastAsia="Times New Roman" w:hAnsi="Times New Roman" w:cs="Times New Roman"/>
      <w:spacing w:val="50"/>
    </w:rPr>
  </w:style>
  <w:style w:type="paragraph" w:customStyle="1" w:styleId="Style3">
    <w:name w:val="Основной текст (2)"/>
    <w:basedOn w:val="Normal"/>
    <w:link w:val="CharStyle4"/>
    <w:pPr>
      <w:widowControl w:val="0"/>
      <w:shd w:val="clear" w:color="auto" w:fill="FFFFFF"/>
      <w:jc w:val="center"/>
      <w:spacing w:before="300" w:after="60" w:line="302"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60" w:after="6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4)"/>
    <w:basedOn w:val="Normal"/>
    <w:link w:val="CharStyle9"/>
    <w:pPr>
      <w:widowControl w:val="0"/>
      <w:shd w:val="clear" w:color="auto" w:fill="FFFFFF"/>
      <w:jc w:val="center"/>
      <w:spacing w:before="60" w:after="60" w:line="254"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1">
    <w:name w:val="Основной текст (5)"/>
    <w:basedOn w:val="Normal"/>
    <w:link w:val="CharStyle12"/>
    <w:pPr>
      <w:widowControl w:val="0"/>
      <w:shd w:val="clear" w:color="auto" w:fill="FFFFFF"/>
      <w:jc w:val="center"/>
      <w:spacing w:before="60" w:after="60" w:line="221" w:lineRule="exact"/>
    </w:pPr>
    <w:rPr>
      <w:b/>
      <w:bCs/>
      <w:i w:val="0"/>
      <w:iCs w:val="0"/>
      <w:u w:val="none"/>
      <w:strike w:val="0"/>
      <w:smallCaps w:val="0"/>
      <w:sz w:val="16"/>
      <w:szCs w:val="16"/>
      <w:rFonts w:ascii="Times New Roman" w:eastAsia="Times New Roman" w:hAnsi="Times New Roman" w:cs="Times New Roman"/>
      <w:spacing w:val="10"/>
    </w:rPr>
  </w:style>
  <w:style w:type="paragraph" w:customStyle="1" w:styleId="Style16">
    <w:name w:val="Заголовок №1"/>
    <w:basedOn w:val="Normal"/>
    <w:link w:val="CharStyle17"/>
    <w:pPr>
      <w:widowControl w:val="0"/>
      <w:shd w:val="clear" w:color="auto" w:fill="FFFFFF"/>
      <w:outlineLvl w:val="0"/>
      <w:spacing w:before="60" w:after="180" w:line="0" w:lineRule="exact"/>
    </w:pPr>
    <w:rPr>
      <w:b/>
      <w:bCs/>
      <w:i w:val="0"/>
      <w:iCs w:val="0"/>
      <w:u w:val="none"/>
      <w:strike w:val="0"/>
      <w:smallCaps w:val="0"/>
      <w:sz w:val="26"/>
      <w:szCs w:val="26"/>
      <w:rFonts w:ascii="Times New Roman" w:eastAsia="Times New Roman" w:hAnsi="Times New Roman" w:cs="Times New Roman"/>
      <w:w w:val="60"/>
      <w:spacing w:val="10"/>
    </w:rPr>
  </w:style>
  <w:style w:type="paragraph" w:customStyle="1" w:styleId="Style20">
    <w:name w:val="Основной текст (6)"/>
    <w:basedOn w:val="Normal"/>
    <w:link w:val="CharStyle21"/>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before="60"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25">
    <w:name w:val="Основной текст (7)"/>
    <w:basedOn w:val="Normal"/>
    <w:link w:val="CharStyle26"/>
    <w:pPr>
      <w:widowControl w:val="0"/>
      <w:shd w:val="clear" w:color="auto" w:fill="FFFFFF"/>
      <w:spacing w:line="29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8">
    <w:name w:val="Основной текст (8)"/>
    <w:basedOn w:val="Normal"/>
    <w:link w:val="CharStyle29"/>
    <w:pPr>
      <w:widowControl w:val="0"/>
      <w:shd w:val="clear" w:color="auto" w:fill="FFFFFF"/>
      <w:spacing w:before="240" w:after="360" w:line="0" w:lineRule="exact"/>
    </w:pPr>
    <w:rPr>
      <w:b w:val="0"/>
      <w:bCs w:val="0"/>
      <w:i w:val="0"/>
      <w:iCs w:val="0"/>
      <w:u w:val="none"/>
      <w:strike w:val="0"/>
      <w:smallCaps w:val="0"/>
      <w:sz w:val="22"/>
      <w:szCs w:val="22"/>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