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41" w:wrap="around" w:vAnchor="text" w:hAnchor="margin" w:x="4838" w:y="55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ИП Герасимовой В.А.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2" w:left="1525" w:right="5859" w:bottom="10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widowControl w:val="0"/>
        <w:spacing w:line="43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6" w:line="27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Калужской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Старый Торг, 5, Калуга, 248000 тел. (4842) 57-65-92, факс (4828) 57-65-92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to40.gfas.gov.ru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0" w:right="0" w:firstLine="0"/>
        <w:sectPr>
          <w:type w:val="continuous"/>
          <w:pgSz w:w="11906" w:h="16838"/>
          <w:pgMar w:top="1102" w:left="1370" w:right="870" w:bottom="1098" w:header="0" w:footer="3" w:gutter="0"/>
          <w:rtlGutter w:val="0"/>
          <w:cols w:num="2" w:space="515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Любого, Д.9-А, кв.42, г.Обнинск, Калужская обл., 249038</w:t>
      </w: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  <w:sectPr>
          <w:type w:val="continuous"/>
          <w:pgSz w:w="11906" w:h="16838"/>
          <w:pgMar w:top="1102" w:left="2328" w:right="8563" w:bottom="1098" w:header="0" w:footer="3" w:gutter="0"/>
          <w:rtlGutter w:val="0"/>
          <w:cols w:space="720"/>
          <w:noEndnote/>
          <w:docGrid w:linePitch="360"/>
        </w:sectPr>
      </w:pPr>
      <w:r>
        <w:rPr>
          <w:rStyle w:val="CharStyle10"/>
          <w:lang w:val="ru-RU" w:eastAsia="ru-RU" w:bidi="ru-RU"/>
        </w:rPr>
        <w:t xml:space="preserve">МОЯ </w:t>
      </w:r>
      <w:r>
        <w:rPr>
          <w:rStyle w:val="CharStyle10"/>
        </w:rPr>
        <w:t>7(l?i</w:t>
      </w:r>
    </w:p>
    <w:p>
      <w:pPr>
        <w:widowControl w:val="0"/>
        <w:spacing w:line="227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140" w:wrap="around" w:vAnchor="text" w:hAnchor="margin" w:x="2537" w:y="3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35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12.11.2021г. в адрес Калужского УФАС России поступила жалоба ИП Герасимовой В.А. на положения аукционной документации при проведении аукциона электронной форме, предметом которого является техническое обслуживание технологического и холодильного оборудования столовой учреждения в 2022-2023 г (номер извещения на официальном сайте 0337100010021000037).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7 статьи 105 Федерального закона от 05.04.2013 №44-ФЗ участник закупки, общественное объединение и объединение юридических лиц подают жалобу в письменной форме. Аналогичная норма изложена в п. 3.6 Административного регламента по рассмотрению жалоб (утв. приказом ФАС России от 19.11.2014 №727/14 (далее - регламент).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10 статьи 105 Закона о контрактной системе установлено, что жалоба подписывается подающим ее лицом или его представителем.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ИП Герасимовой В.А. поступила в Калужское УФАС России по электронной почте.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ИП Герасимовой В.А., поступившая в Калужское УФАС России по электронной почте, не подписана участником закупки в соответствии с требованиями, установленными Федеральным законом от 06.04.2011г. № 63-ФЗ «Об электронной подписи», а именно не подписана электронной подписью представителя Заявителя, в связи, с чем указанная жалоба не соответствует требованиям части 10 статьи 105 Федерального закона от 05.04.2013 №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Данная позиция изложена также в письме Минэкономразвития России от 06.05.2014 №10073-ЕЕ/Д28и.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850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104515</w:t>
      </w:r>
      <w:bookmarkEnd w:id="0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 части 11 статьи 105 Федерального закона от 05.04.2013 № 44-ФЗ установлено, что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вышеуказанного, руководствуясь положениями частей 10, 11 статьи 105 Федерального закона от 05.04.2013 № 44-ФЗ Калужское УФАС России решило возвратить жалобу ИП Герасимовой В.А. (от 12.11.2021г.).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600"/>
        <w:sectPr>
          <w:type w:val="continuous"/>
          <w:pgSz w:w="11906" w:h="16838"/>
          <w:pgMar w:top="1451" w:left="850" w:right="828" w:bottom="14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</w:t>
      </w:r>
    </w:p>
    <w:p>
      <w:pPr>
        <w:pStyle w:val="Style3"/>
        <w:framePr w:h="242" w:wrap="around" w:vAnchor="text" w:hAnchor="margin" w:x="856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М.А. Чуриков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23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УФАС России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(4842) 57-48-50</w:t>
      </w:r>
    </w:p>
    <w:sectPr>
      <w:type w:val="continuous"/>
      <w:pgSz w:w="11906" w:h="16838"/>
      <w:pgMar w:top="2485" w:left="848" w:right="5679" w:bottom="24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Sylfaen" w:eastAsia="Sylfaen" w:hAnsi="Sylfaen" w:cs="Sylfaen"/>
      <w:spacing w:val="2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Sylfaen" w:eastAsia="Sylfaen" w:hAnsi="Sylfaen" w:cs="Sylfaen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Sylfaen" w:eastAsia="Sylfaen" w:hAnsi="Sylfaen" w:cs="Sylfaen"/>
    </w:rPr>
  </w:style>
  <w:style w:type="character" w:customStyle="1" w:styleId="CharStyle9">
    <w:name w:val="Основной текст (3)_"/>
    <w:basedOn w:val="DefaultParagraphFont"/>
    <w:link w:val="Style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Impact" w:eastAsia="Impact" w:hAnsi="Impact" w:cs="Impact"/>
      <w:spacing w:val="10"/>
    </w:rPr>
  </w:style>
  <w:style w:type="character" w:customStyle="1" w:styleId="CharStyle10">
    <w:name w:val="Основной текст (3)"/>
    <w:basedOn w:val="CharStyle9"/>
    <w:rPr>
      <w:u w:val="single"/>
      <w:w w:val="100"/>
      <w:color w:val="000000"/>
      <w:position w:val="0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-5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Sylfaen" w:eastAsia="Sylfaen" w:hAnsi="Sylfaen" w:cs="Sylfaen"/>
    </w:rPr>
  </w:style>
  <w:style w:type="character" w:customStyle="1" w:styleId="CharStyle16">
    <w:name w:val="Заголовок №1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2"/>
      <w:szCs w:val="32"/>
      <w:rFonts w:ascii="Sylfaen" w:eastAsia="Sylfaen" w:hAnsi="Sylfaen" w:cs="Sylfaen"/>
      <w:spacing w:val="10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center"/>
      <w:spacing w:after="60" w:line="270" w:lineRule="exact"/>
    </w:pPr>
    <w:rPr>
      <w:b w:val="0"/>
      <w:bCs w:val="0"/>
      <w:i w:val="0"/>
      <w:iCs w:val="0"/>
      <w:u w:val="none"/>
      <w:strike w:val="0"/>
      <w:smallCaps w:val="0"/>
      <w:rFonts w:ascii="Sylfaen" w:eastAsia="Sylfaen" w:hAnsi="Sylfaen" w:cs="Sylfae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60" w:line="194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Sylfaen" w:eastAsia="Sylfaen" w:hAnsi="Sylfaen" w:cs="Sylfae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Impact" w:eastAsia="Impact" w:hAnsi="Impact" w:cs="Impact"/>
      <w:spacing w:val="10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-5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after="19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Sylfaen" w:eastAsia="Sylfaen" w:hAnsi="Sylfaen" w:cs="Sylfae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Sylfaen" w:eastAsia="Sylfaen" w:hAnsi="Sylfaen" w:cs="Sylfaen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