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93"/>
        <w:ind w:left="5340" w:right="640" w:firstLine="0"/>
      </w:pPr>
      <w:r>
        <w:rPr>
          <w:lang w:val="ru-RU" w:eastAsia="ru-RU" w:bidi="ru-RU"/>
          <w:w w:val="100"/>
          <w:spacing w:val="0"/>
          <w:color w:val="000000"/>
          <w:position w:val="0"/>
        </w:rPr>
        <w:t>ГБУЗ «ГКБ им. И.В. Давыдовского ДЗМ»</w:t>
      </w:r>
    </w:p>
    <w:p>
      <w:pPr>
        <w:pStyle w:val="Style5"/>
        <w:widowControl w:val="0"/>
        <w:keepNext w:val="0"/>
        <w:keepLines w:val="0"/>
        <w:shd w:val="clear" w:color="auto" w:fill="auto"/>
        <w:bidi w:val="0"/>
        <w:jc w:val="left"/>
        <w:spacing w:before="0" w:after="357" w:line="260" w:lineRule="exact"/>
        <w:ind w:left="5340" w:right="0" w:firstLine="0"/>
      </w:pPr>
      <w:r>
        <w:rPr>
          <w:lang w:val="ru-RU" w:eastAsia="ru-RU" w:bidi="ru-RU"/>
          <w:w w:val="100"/>
          <w:spacing w:val="0"/>
          <w:color w:val="000000"/>
          <w:position w:val="0"/>
        </w:rPr>
        <w:t>ул. Яузская, д. 11, г. Москва, 109240</w:t>
      </w:r>
    </w:p>
    <w:p>
      <w:pPr>
        <w:pStyle w:val="Style5"/>
        <w:widowControl w:val="0"/>
        <w:keepNext w:val="0"/>
        <w:keepLines w:val="0"/>
        <w:shd w:val="clear" w:color="auto" w:fill="auto"/>
        <w:bidi w:val="0"/>
        <w:jc w:val="left"/>
        <w:spacing w:before="0" w:after="308" w:line="260" w:lineRule="exact"/>
        <w:ind w:left="5340" w:right="0" w:firstLine="0"/>
      </w:pPr>
      <w:r>
        <w:rPr>
          <w:lang w:val="ru-RU" w:eastAsia="ru-RU" w:bidi="ru-RU"/>
          <w:w w:val="100"/>
          <w:spacing w:val="0"/>
          <w:color w:val="000000"/>
          <w:position w:val="0"/>
        </w:rPr>
        <w:t>ИП Воробьева Е.Б.</w:t>
      </w:r>
    </w:p>
    <w:p>
      <w:pPr>
        <w:pStyle w:val="Style5"/>
        <w:widowControl w:val="0"/>
        <w:keepNext w:val="0"/>
        <w:keepLines w:val="0"/>
        <w:shd w:val="clear" w:color="auto" w:fill="auto"/>
        <w:bidi w:val="0"/>
        <w:jc w:val="left"/>
        <w:spacing w:before="0" w:after="1860" w:line="322" w:lineRule="exact"/>
        <w:ind w:left="5340" w:right="420" w:firstLine="0"/>
      </w:pPr>
      <w:r>
        <w:rPr>
          <w:lang w:val="ru-RU" w:eastAsia="ru-RU" w:bidi="ru-RU"/>
          <w:w w:val="100"/>
          <w:spacing w:val="0"/>
          <w:color w:val="000000"/>
          <w:position w:val="0"/>
        </w:rPr>
        <w:t>ул. Рудневка, д. 39, кв. 301, г. Москва, 111675</w:t>
      </w:r>
    </w:p>
    <w:p>
      <w:pPr>
        <w:pStyle w:val="Style7"/>
        <w:tabs>
          <w:tab w:leader="none" w:pos="9107" w:val="right"/>
          <w:tab w:leader="none" w:pos="10163"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077/06/106-19577/2021 о нарушении Законодательства о контрактной системе 10.11.2021</w:t>
        <w:tab/>
        <w:t>г.</w:t>
        <w:tab/>
        <w:t>Москва</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Главного специалиста-эксперта отдела обжалования государственных закупок А.А. Кутейникова,</w:t>
      </w:r>
    </w:p>
    <w:p>
      <w:pPr>
        <w:pStyle w:val="Style5"/>
        <w:tabs>
          <w:tab w:leader="none" w:pos="657" w:val="left"/>
        </w:tabs>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при участии представителей ГБУЗ «ГКБ им. И.В. Давыдовского ДЗМ»:</w:t>
      </w:r>
    </w:p>
    <w:p>
      <w:pPr>
        <w:pStyle w:val="Style5"/>
        <w:tabs>
          <w:tab w:leader="none" w:pos="717" w:val="left"/>
        </w:tabs>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О.В. Усачевой (по дов. №б/н от 12.07.2021), А.В. Пахомова (по дов. №б/н от 01.11.2021),</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в отсутствие представителей ИП Воробьева Е.Б., о времени и порядке заседания Комиссии уведомлены письмом Московского УФАС России исх. №ЕИ/66977/21 от 01.11.2021,</w:t>
      </w:r>
    </w:p>
    <w:p>
      <w:pPr>
        <w:pStyle w:val="Style3"/>
        <w:framePr w:w="1685" w:h="394" w:wrap="around" w:vAnchor="text" w:hAnchor="margin" w:x="385" w:y="144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001986706142</w:t>
      </w:r>
    </w:p>
    <w:p>
      <w:pPr>
        <w:pStyle w:val="Style5"/>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рассмотрев жалобу ИП Воробьева Е.Б. (далее - Заявитель) на действия ГБУЗ «ГКБ им. И.В. Давыдовского ДЗМ» (далее — Заказчик) при проведении электронного аукциона на право заключения государственного контракта на поставку инфузионных шприцевых насосов (лот1) для нужд ГБУЗ «ГКБ им. И.В.</w:t>
      </w:r>
      <w:r>
        <w:br w:type="page"/>
      </w:r>
    </w:p>
    <w:p>
      <w:pPr>
        <w:pStyle w:val="Style5"/>
        <w:tabs>
          <w:tab w:leader="none" w:pos="8689" w:val="left"/>
          <w:tab w:leader="none" w:pos="10196" w:val="righ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Давыдовского ДЗМ» (Закупка № 0373200001221000504)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w:t>
      </w:r>
      <w:r>
        <w:rPr>
          <w:rStyle w:val="CharStyle9"/>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w:t>
        <w:tab/>
        <w:t>№</w:t>
        <w:tab/>
        <w:t>727/14</w:t>
      </w:r>
    </w:p>
    <w:p>
      <w:pPr>
        <w:pStyle w:val="Style5"/>
        <w:widowControl w:val="0"/>
        <w:keepNext w:val="0"/>
        <w:keepLines w:val="0"/>
        <w:shd w:val="clear" w:color="auto" w:fill="auto"/>
        <w:bidi w:val="0"/>
        <w:jc w:val="both"/>
        <w:spacing w:before="0" w:after="300" w:line="322" w:lineRule="exact"/>
        <w:ind w:left="20" w:right="0" w:firstLine="0"/>
      </w:pPr>
      <w:r>
        <w:rPr>
          <w:lang w:val="ru-RU" w:eastAsia="ru-RU" w:bidi="ru-RU"/>
          <w:w w:val="100"/>
          <w:spacing w:val="0"/>
          <w:color w:val="000000"/>
          <w:position w:val="0"/>
        </w:rPr>
        <w:t>(далее - Административный регламент),</w:t>
      </w:r>
    </w:p>
    <w:p>
      <w:pPr>
        <w:pStyle w:val="Style10"/>
        <w:widowControl w:val="0"/>
        <w:keepNext/>
        <w:keepLines/>
        <w:shd w:val="clear" w:color="auto" w:fill="auto"/>
        <w:bidi w:val="0"/>
        <w:jc w:val="left"/>
        <w:spacing w:before="0" w:after="0"/>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указанного аукциона.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Согласно доводам жалобы Заказчиком в техническом задании аукционной документации неправомерно установлено требование к характеристике товара, которое влечет за собой ограничение количества участников закупки и препятствуют формированию заявки на участие в закупке, поскольку участники закупки не имеют возможности подобрать товар, соответствующий совокупности требований, установленных в документации, а именно по п. 1 «Насос инфузионный общего назначения, с питанием от сети»: «Тип модуля: Перистальтический».</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установлено, что жалоба поступила в Московское УФАС России 28.10.2021 в 20:12.</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Вместе с тем Заказчиком 28.10.2021 в 20:09 на официальном сайте Единой информационной системы опубликована редакция документации от 28.10.2021 № ИД1, в которой спорное требование Заказчиком самостоятельно исключено.</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об отсутствии предмета обжалования, что свидетельствует о необходимости оставления указанного довода жалобы без рассмотрения.</w:t>
      </w:r>
    </w:p>
    <w:p>
      <w:pPr>
        <w:pStyle w:val="Style5"/>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Также согласно доводам жалобы Заказчиком установлены неправомерные дополнительные требования к товару по п. 1 «Насос инфузионный общего назначения, с питанием от сети», не предусмотренные ГОСТ Р 57185-2016 «Изделия медицинские электрические» (далее- ГОСТ Р 57185-2016).</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п.1,п.2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w:t>
      </w:r>
      <w:r>
        <w:rPr>
          <w:rStyle w:val="CharStyle9"/>
        </w:rPr>
        <w:t>ши</w:t>
      </w:r>
      <w:r>
        <w:rPr>
          <w:lang w:val="ru-RU" w:eastAsia="ru-RU" w:bidi="ru-RU"/>
          <w:w w:val="100"/>
          <w:spacing w:val="0"/>
          <w:color w:val="000000"/>
          <w:position w:val="0"/>
        </w:rPr>
        <w:t>ны и оборудование.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Кроме того, согласно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представители Заказчика пояснили, что в п. 4.4 ГОСТ Р 57185-2016 содержится следующее указание: «Заказчик вправе включить в ТЗ на закупку ВМО требования, не регламентированные настоящим стандартом, если они не противоречат действующим нормативно-правовым актам Российской Федерации. При этом Заказчик обязан однозначно обосновать соответствующие повышенные потребительские, технические и/или функциональные характеристики».</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установление Заказчиком дополнительных требований к товару по п. 1 «Насос инфузионный общего назначения, с питанием от сети» с указанием обоснования необходимости использования характеристик не противоречат вышеуказанному ГОСТ Р 57185-2016 и Закону о контрактной системе.</w:t>
      </w:r>
    </w:p>
    <w:p>
      <w:pPr>
        <w:pStyle w:val="Style5"/>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что довод Заявителя жалобы не нашел своего подтверждения и является необоснованным.</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3. Также в составе жалобы Заявитель указывает на то, что в аукционной документации отсутствует надлежащее обоснование применения дополнительных характеристик, не включенных в каталог товаров, работ, услуг для обеспечения государственных и муниципальных нужд (далее — КТРУ).</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Согласно ч.5 ст.23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соответствии с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Постановлением Правительства Российской Федерации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соответствии с п.1 Правил формирования КТРУ указанные Правила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силу п.2 Правил формирования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указанными Правилами.</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На основании п.4 Правил использования КТРУ Заказчики обязаны применять информацию, включенную в позицию каталога в соответствии с подпунктами «б» - «г» и «е» - «з» п.10 Правил формирования КТРУ.</w:t>
      </w:r>
    </w:p>
    <w:p>
      <w:pPr>
        <w:pStyle w:val="Style5"/>
        <w:widowControl w:val="0"/>
        <w:keepNext w:val="0"/>
        <w:keepLines w:val="0"/>
        <w:shd w:val="clear" w:color="auto" w:fill="auto"/>
        <w:bidi w:val="0"/>
        <w:jc w:val="both"/>
        <w:spacing w:before="0" w:after="0" w:line="322" w:lineRule="exact"/>
        <w:ind w:left="20" w:right="20" w:firstLine="660"/>
      </w:pPr>
      <w:r>
        <w:rPr>
          <w:lang w:val="ru-RU" w:eastAsia="ru-RU" w:bidi="ru-RU"/>
          <w:w w:val="100"/>
          <w:spacing w:val="0"/>
          <w:color w:val="000000"/>
          <w:position w:val="0"/>
        </w:rPr>
        <w:t>В соответствии с пп. «г»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п.6 Правил использования КТРУ в случае предоставления иной и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ходе заседания Комиссии Управления установлено, что п. 1 «Насос инфузионный общего назначения, с питанием от сети» отнесен Заказчиком к коду КТРУ 32.50.50.190-00001126 «Насос инфузионный общего назначения, с питанием от сети», который не содержит описания обязательных характеристик для данного товара.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представители Заказчика пояснили, что Заказчиком выбран код КТРУ 32.50.50.190-00001126, а также описаны технические характеристики товара в соответствии с положениями статьи 33 Закона о контрактной системе, что не противоречит правилам, поскольку позицией каталога не установлены какие-либо функциональные, технические, качественные, эксплуатационные характеристики товара.</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Комиссией Управления установлено, что в составе технической части документации в отношении дополнительных характеристик Заказчиком включено обоснование необходимости их использования, так например, «Тип оборудования: модульный» - Для контролируемого введения пациенту жидких препаратов и инфузионных растворов с использованием одноразовых шприцев, при этом положениями Правил использования КТРУ не утверждена ни форма, ни содержание, ни требования к вышеуказанному обоснованию.</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в составе жалобы Заявителем не представлено документов, подтверждающих обоснованность данного довода жалобы, а также свидетельствующих о нарушении Заказчиком норм Закона о контрактной системе,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Таким образом, на заседании Комиссии Управления установлено, что установленные Заказчиком дополнительные требования, не предусмотренные КТРУ, к товарам по оспариваемым пунктам, установлены в соответствии с п.7 Правил, а также что указанный довод жалобы Заявителя не нашел своего подтверждения и является необоснованным.</w:t>
      </w:r>
    </w:p>
    <w:p>
      <w:pPr>
        <w:pStyle w:val="Style5"/>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Дополнительно Комиссия Управления отмечает, что 09.11.2021 Заявителем было направлено дополнение к жалобе, содержащее новые, ранее не заявленные и не связанные с отраженными в тексте жалобы доводами, следовательно, что, по своей сути, является вновь поданной жалобой.</w:t>
      </w:r>
    </w:p>
    <w:p>
      <w:pPr>
        <w:pStyle w:val="Style5"/>
        <w:widowControl w:val="0"/>
        <w:keepNext w:val="0"/>
        <w:keepLines w:val="0"/>
        <w:shd w:val="clear" w:color="auto" w:fill="auto"/>
        <w:bidi w:val="0"/>
        <w:jc w:val="both"/>
        <w:spacing w:before="0" w:after="0" w:line="322" w:lineRule="exact"/>
        <w:ind w:left="20" w:right="40" w:firstLine="540"/>
      </w:pPr>
      <w:r>
        <w:rPr>
          <w:lang w:val="ru-RU" w:eastAsia="ru-RU" w:bidi="ru-RU"/>
          <w:w w:val="100"/>
          <w:spacing w:val="0"/>
          <w:color w:val="000000"/>
          <w:position w:val="0"/>
        </w:rPr>
        <w:t>Подавая новую жалобу в форме ходатайства в рамках возбужденного производства по иной жалобе, ранее назначенной к рассмотрению, Заявитель лишает контрольный орган в сфере закупок осуществить предусмотренные законом процессуальные действия, предусмотренные Законом о контрактной системе.</w:t>
      </w:r>
    </w:p>
    <w:p>
      <w:pPr>
        <w:pStyle w:val="Style5"/>
        <w:widowControl w:val="0"/>
        <w:keepNext w:val="0"/>
        <w:keepLines w:val="0"/>
        <w:shd w:val="clear" w:color="auto" w:fill="auto"/>
        <w:bidi w:val="0"/>
        <w:jc w:val="both"/>
        <w:spacing w:before="0" w:after="0" w:line="322" w:lineRule="exact"/>
        <w:ind w:left="20" w:right="40" w:firstLine="540"/>
      </w:pPr>
      <w:r>
        <w:rPr>
          <w:lang w:val="ru-RU" w:eastAsia="ru-RU" w:bidi="ru-RU"/>
          <w:w w:val="100"/>
          <w:spacing w:val="0"/>
          <w:color w:val="000000"/>
          <w:position w:val="0"/>
        </w:rPr>
        <w:t>При этом, Законом о контрактной системе не предусмотрена обязанность (или право) контрольного органа в сфере закупок направлять копии или тексты ходатайств заказчику, уполномоченному органу и иным субъектам контроля, чьи действия обжалуются, а также размещать их в общедоступной части единой информационной системы в сфере закупок для ознакомления иными лицами, в том числе заинтересованными, намеревающимися принять участие в рассмотрении жалобы по существу и представлении собственных возражений по существу жалобы.</w:t>
      </w:r>
    </w:p>
    <w:p>
      <w:pPr>
        <w:pStyle w:val="Style5"/>
        <w:widowControl w:val="0"/>
        <w:keepNext w:val="0"/>
        <w:keepLines w:val="0"/>
        <w:shd w:val="clear" w:color="auto" w:fill="auto"/>
        <w:bidi w:val="0"/>
        <w:jc w:val="both"/>
        <w:spacing w:before="0" w:after="0" w:line="322" w:lineRule="exact"/>
        <w:ind w:left="20" w:right="40" w:firstLine="540"/>
      </w:pPr>
      <w:r>
        <w:rPr>
          <w:lang w:val="ru-RU" w:eastAsia="ru-RU" w:bidi="ru-RU"/>
          <w:w w:val="100"/>
          <w:spacing w:val="0"/>
          <w:color w:val="000000"/>
          <w:position w:val="0"/>
        </w:rPr>
        <w:t>При этом представители Заказчика пояснили, что дополнение к жалобе от ИП Воробьева Е.Б. не получали.</w:t>
      </w:r>
    </w:p>
    <w:p>
      <w:pPr>
        <w:pStyle w:val="Style5"/>
        <w:widowControl w:val="0"/>
        <w:keepNext w:val="0"/>
        <w:keepLines w:val="0"/>
        <w:shd w:val="clear" w:color="auto" w:fill="auto"/>
        <w:bidi w:val="0"/>
        <w:jc w:val="both"/>
        <w:spacing w:before="0" w:after="0" w:line="322" w:lineRule="exact"/>
        <w:ind w:left="20" w:right="40" w:firstLine="540"/>
      </w:pPr>
      <w:r>
        <w:rPr>
          <w:lang w:val="ru-RU" w:eastAsia="ru-RU" w:bidi="ru-RU"/>
          <w:w w:val="100"/>
          <w:spacing w:val="0"/>
          <w:color w:val="000000"/>
          <w:position w:val="0"/>
        </w:rPr>
        <w:t>Таким образом, рассмотрение новых доводов по существу приведет к нарушению процессуальных прав заказчика и уполномоченного органа на подготовку мотивированной правовой позиции по данным доводам и нарушению принципов равноправия и состязательности сторон.</w:t>
      </w:r>
    </w:p>
    <w:p>
      <w:pPr>
        <w:pStyle w:val="Style5"/>
        <w:widowControl w:val="0"/>
        <w:keepNext w:val="0"/>
        <w:keepLines w:val="0"/>
        <w:shd w:val="clear" w:color="auto" w:fill="auto"/>
        <w:bidi w:val="0"/>
        <w:jc w:val="both"/>
        <w:spacing w:before="0" w:after="0" w:line="322" w:lineRule="exact"/>
        <w:ind w:left="20" w:right="40" w:firstLine="540"/>
      </w:pPr>
      <w:r>
        <w:rPr>
          <w:lang w:val="ru-RU" w:eastAsia="ru-RU" w:bidi="ru-RU"/>
          <w:w w:val="100"/>
          <w:spacing w:val="0"/>
          <w:color w:val="000000"/>
          <w:position w:val="0"/>
        </w:rPr>
        <w:t>Таким образом дополнительные доводы жалобы Заявителя оставляются без рассмотрения, поскольку они не были отражены первоначально в жалобе, поданной в антимонопольный орган.</w:t>
      </w:r>
    </w:p>
    <w:p>
      <w:pPr>
        <w:pStyle w:val="Style5"/>
        <w:widowControl w:val="0"/>
        <w:keepNext w:val="0"/>
        <w:keepLines w:val="0"/>
        <w:shd w:val="clear" w:color="auto" w:fill="auto"/>
        <w:bidi w:val="0"/>
        <w:jc w:val="both"/>
        <w:spacing w:before="0" w:after="349" w:line="322" w:lineRule="exact"/>
        <w:ind w:left="20" w:right="40" w:firstLine="54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0"/>
        <w:widowControl w:val="0"/>
        <w:keepNext/>
        <w:keepLines/>
        <w:shd w:val="clear" w:color="auto" w:fill="auto"/>
        <w:bidi w:val="0"/>
        <w:jc w:val="center"/>
        <w:spacing w:before="0" w:after="299"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Признать жалобу ИП Воробьева Е.Б. на действия ГБУЗ «ГКБ им. И.В. Давыдовского ДЗМ» необоснованной.</w:t>
      </w:r>
    </w:p>
    <w:p>
      <w:pPr>
        <w:pStyle w:val="Style5"/>
        <w:numPr>
          <w:ilvl w:val="0"/>
          <w:numId w:val="3"/>
        </w:numPr>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 xml:space="preserve"> Жалобу ИП Воробьева Е.Б. в части обжалования требований к характеристике товара по п.1 «Насос инфузионный общего назначения, с питанием от сети» оставить без рассмотрения в связи с отсутствием предмета обжалования.</w:t>
      </w:r>
    </w:p>
    <w:p>
      <w:pPr>
        <w:pStyle w:val="Style5"/>
        <w:numPr>
          <w:ilvl w:val="0"/>
          <w:numId w:val="3"/>
        </w:numPr>
        <w:widowControl w:val="0"/>
        <w:keepNext w:val="0"/>
        <w:keepLines w:val="0"/>
        <w:shd w:val="clear" w:color="auto" w:fill="auto"/>
        <w:bidi w:val="0"/>
        <w:jc w:val="both"/>
        <w:spacing w:before="0" w:after="0" w:line="322" w:lineRule="exact"/>
        <w:ind w:left="20" w:right="40" w:firstLine="700"/>
      </w:pPr>
      <w:r>
        <w:rPr>
          <w:lang w:val="ru-RU" w:eastAsia="ru-RU" w:bidi="ru-RU"/>
          <w:w w:val="100"/>
          <w:spacing w:val="0"/>
          <w:color w:val="000000"/>
          <w:position w:val="0"/>
        </w:rPr>
        <w:t xml:space="preserve"> Снять ограничения на определение поставщиков (подрядчиков, исполнителей), наложенные письмом Московского УФАС России от 01.11.2021 №ЕИ/66977/21.</w:t>
      </w:r>
    </w:p>
    <w:p>
      <w:pPr>
        <w:pStyle w:val="Style5"/>
        <w:widowControl w:val="0"/>
        <w:keepNext w:val="0"/>
        <w:keepLines w:val="0"/>
        <w:shd w:val="clear" w:color="auto" w:fill="auto"/>
        <w:bidi w:val="0"/>
        <w:jc w:val="both"/>
        <w:spacing w:before="0" w:after="304" w:line="322" w:lineRule="exact"/>
        <w:ind w:left="20" w:right="40" w:firstLine="700"/>
      </w:pPr>
      <w:r>
        <w:rPr>
          <w:lang w:val="ru-RU" w:eastAsia="ru-RU" w:bidi="ru-RU"/>
          <w:w w:val="100"/>
          <w:spacing w:val="0"/>
          <w:color w:val="000000"/>
          <w:position w:val="0"/>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5"/>
        <w:tabs>
          <w:tab w:leader="none" w:pos="8785"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Заместитель председателя Комиссии</w:t>
        <w:tab/>
        <w:t>К.А. Сомов</w:t>
      </w:r>
    </w:p>
    <w:p>
      <w:pPr>
        <w:pStyle w:val="Style5"/>
        <w:tabs>
          <w:tab w:leader="none" w:pos="8478"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Члены комиссии</w:t>
        <w:tab/>
        <w:t>А.З. Касимова</w:t>
      </w:r>
    </w:p>
    <w:p>
      <w:pPr>
        <w:pStyle w:val="Style5"/>
        <w:widowControl w:val="0"/>
        <w:keepNext w:val="0"/>
        <w:keepLines w:val="0"/>
        <w:shd w:val="clear" w:color="auto" w:fill="auto"/>
        <w:bidi w:val="0"/>
        <w:jc w:val="right"/>
        <w:spacing w:before="0" w:after="3" w:line="260" w:lineRule="exact"/>
        <w:ind w:left="0" w:right="40" w:firstLine="0"/>
      </w:pPr>
      <w:r>
        <w:rPr>
          <w:lang w:val="ru-RU" w:eastAsia="ru-RU" w:bidi="ru-RU"/>
          <w:w w:val="100"/>
          <w:spacing w:val="0"/>
          <w:color w:val="000000"/>
          <w:position w:val="0"/>
        </w:rPr>
        <w:t>А.А. Кутейников</w:t>
      </w:r>
    </w:p>
    <w:p>
      <w:pPr>
        <w:pStyle w:val="Style12"/>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А.З.Тел. 8-495-784-75-05</w:t>
      </w:r>
    </w:p>
    <w:sectPr>
      <w:footnotePr>
        <w:pos w:val="pageBottom"/>
        <w:numFmt w:val="decimal"/>
        <w:numRestart w:val="continuous"/>
      </w:footnotePr>
      <w:type w:val="continuous"/>
      <w:pgSz w:w="11906" w:h="16838"/>
      <w:pgMar w:top="1113" w:left="843" w:right="819"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240"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86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6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