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289" w:line="260" w:lineRule="exact"/>
        <w:ind w:left="5340" w:right="0" w:firstLine="0"/>
      </w:pPr>
      <w:r>
        <w:rPr>
          <w:lang w:val="ru-RU" w:eastAsia="ru-RU" w:bidi="ru-RU"/>
          <w:w w:val="100"/>
          <w:spacing w:val="0"/>
          <w:color w:val="000000"/>
          <w:position w:val="0"/>
        </w:rPr>
        <w:t>ГБУЗ «ГКБ № 13 ДЗМ»</w:t>
      </w:r>
    </w:p>
    <w:p>
      <w:pPr>
        <w:pStyle w:val="Style5"/>
        <w:widowControl w:val="0"/>
        <w:keepNext w:val="0"/>
        <w:keepLines w:val="0"/>
        <w:shd w:val="clear" w:color="auto" w:fill="auto"/>
        <w:bidi w:val="0"/>
        <w:jc w:val="left"/>
        <w:spacing w:before="0" w:after="363" w:line="264" w:lineRule="exact"/>
        <w:ind w:left="5340" w:right="1180" w:firstLine="0"/>
      </w:pPr>
      <w:r>
        <w:rPr>
          <w:lang w:val="ru-RU" w:eastAsia="ru-RU" w:bidi="ru-RU"/>
          <w:w w:val="100"/>
          <w:spacing w:val="0"/>
          <w:color w:val="000000"/>
          <w:position w:val="0"/>
        </w:rPr>
        <w:t>ул. Велозаводская, д. 1, корп. 1, г. Москва, 115280</w:t>
      </w:r>
    </w:p>
    <w:p>
      <w:pPr>
        <w:pStyle w:val="Style5"/>
        <w:widowControl w:val="0"/>
        <w:keepNext w:val="0"/>
        <w:keepLines w:val="0"/>
        <w:shd w:val="clear" w:color="auto" w:fill="auto"/>
        <w:bidi w:val="0"/>
        <w:spacing w:before="0" w:after="285" w:line="260" w:lineRule="exact"/>
        <w:ind w:left="5340" w:right="0" w:firstLine="0"/>
      </w:pPr>
      <w:r>
        <w:rPr>
          <w:lang w:val="ru-RU" w:eastAsia="ru-RU" w:bidi="ru-RU"/>
          <w:w w:val="100"/>
          <w:spacing w:val="0"/>
          <w:color w:val="000000"/>
          <w:position w:val="0"/>
        </w:rPr>
        <w:t>ООО «Стройбах»</w:t>
      </w:r>
    </w:p>
    <w:p>
      <w:pPr>
        <w:pStyle w:val="Style5"/>
        <w:widowControl w:val="0"/>
        <w:keepNext w:val="0"/>
        <w:keepLines w:val="0"/>
        <w:shd w:val="clear" w:color="auto" w:fill="auto"/>
        <w:bidi w:val="0"/>
        <w:spacing w:before="0" w:after="1698" w:line="269" w:lineRule="exact"/>
        <w:ind w:left="5340" w:right="180" w:firstLine="0"/>
      </w:pPr>
      <w:r>
        <w:rPr>
          <w:lang w:val="ru-RU" w:eastAsia="ru-RU" w:bidi="ru-RU"/>
          <w:w w:val="100"/>
          <w:spacing w:val="0"/>
          <w:color w:val="000000"/>
          <w:position w:val="0"/>
        </w:rPr>
        <w:t>пр-д Хлебанский, д. 7, стр. 9, г. Москва, 115230</w:t>
      </w:r>
    </w:p>
    <w:p>
      <w:pPr>
        <w:pStyle w:val="Style7"/>
        <w:tabs>
          <w:tab w:leader="none" w:pos="11290" w:val="center"/>
          <w:tab w:leader="none" w:pos="12418" w:val="right"/>
        </w:tabs>
        <w:widowControl w:val="0"/>
        <w:keepNext w:val="0"/>
        <w:keepLines w:val="0"/>
        <w:shd w:val="clear" w:color="auto" w:fill="auto"/>
        <w:bidi w:val="0"/>
        <w:jc w:val="left"/>
        <w:spacing w:before="0" w:after="0"/>
        <w:ind w:left="2280" w:right="2260" w:firstLine="2120"/>
      </w:pPr>
      <w:r>
        <w:rPr>
          <w:lang w:val="ru-RU" w:eastAsia="ru-RU" w:bidi="ru-RU"/>
          <w:w w:val="100"/>
          <w:spacing w:val="0"/>
          <w:color w:val="000000"/>
          <w:position w:val="0"/>
        </w:rPr>
        <w:t>РЕШЕНИЕ по делу №077/06/106-19636/2021 о нарушении законодательства о контрактной системе</w:t>
      </w:r>
    </w:p>
    <w:p>
      <w:pPr>
        <w:pStyle w:val="Style7"/>
        <w:numPr>
          <w:ilvl w:val="0"/>
          <w:numId w:val="1"/>
        </w:numPr>
        <w:tabs>
          <w:tab w:leader="none" w:pos="9050" w:val="center"/>
          <w:tab w:leader="none" w:pos="10178" w:val="right"/>
          <w:tab w:leader="none" w:pos="8978" w:val="lef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г.</w:t>
        <w:tab/>
        <w:t>Москва</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5"/>
        <w:tabs>
          <w:tab w:leader="none" w:pos="659" w:val="left"/>
        </w:tabs>
        <w:widowControl w:val="0"/>
        <w:keepNext w:val="0"/>
        <w:keepLines w:val="0"/>
        <w:shd w:val="clear" w:color="auto" w:fill="auto"/>
        <w:bidi w:val="0"/>
        <w:spacing w:before="0" w:after="0" w:line="322" w:lineRule="exact"/>
        <w:ind w:left="40" w:right="0" w:firstLine="0"/>
      </w:pPr>
      <w:r>
        <w:rPr>
          <w:lang w:val="ru-RU" w:eastAsia="ru-RU" w:bidi="ru-RU"/>
          <w:w w:val="100"/>
          <w:spacing w:val="0"/>
          <w:color w:val="000000"/>
          <w:position w:val="0"/>
        </w:rPr>
        <w:t>Н.А. Узкого,</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А.С. Леонтьевой,</w:t>
      </w:r>
    </w:p>
    <w:p>
      <w:pPr>
        <w:pStyle w:val="Style5"/>
        <w:tabs>
          <w:tab w:leader="none" w:pos="633" w:val="left"/>
        </w:tabs>
        <w:widowControl w:val="0"/>
        <w:keepNext w:val="0"/>
        <w:keepLines w:val="0"/>
        <w:shd w:val="clear" w:color="auto" w:fill="auto"/>
        <w:bidi w:val="0"/>
        <w:spacing w:before="0" w:after="0" w:line="322" w:lineRule="exact"/>
        <w:ind w:left="40" w:right="20" w:firstLine="94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spacing w:before="0" w:after="0" w:line="322"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при участии представителей:</w:t>
      </w:r>
    </w:p>
    <w:p>
      <w:pPr>
        <w:pStyle w:val="Style3"/>
        <w:framePr w:w="1685" w:h="394" w:wrap="around" w:vAnchor="text" w:hAnchor="margin" w:x="375" w:y="3423"/>
        <w:widowControl w:val="0"/>
        <w:keepNext w:val="0"/>
        <w:keepLines w:val="0"/>
        <w:shd w:val="clear" w:color="auto" w:fill="auto"/>
        <w:bidi w:val="0"/>
        <w:jc w:val="left"/>
        <w:spacing w:before="0" w:after="0" w:line="240" w:lineRule="auto"/>
        <w:ind w:left="0" w:right="0" w:firstLine="0"/>
      </w:pPr>
      <w:r>
        <w:rPr>
          <w:w w:val="100"/>
          <w:spacing w:val="0"/>
          <w:color w:val="000000"/>
          <w:position w:val="0"/>
        </w:rPr>
        <w:t>000815663779</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ГБУЗ «ГКБ № 13 ДЗМ»: Соколова В.В. (доверенность №007 от 16.10.2020), ООО «Стройбах»: Белозор А.С. (доверенность б/н от 10.11.2021), рассмотрев жалобу ООО «Стройбах» (далее — Заявитель) на действия ГБУЗ «ГКБ № 13 ДЗМ» (далее — Заказчик) при проведении электронного аукциона на право заключения государственного контракта на выполнение работ по ремонту кровли здания терапевтического корпуса в ГБУЗ «ГКБ №13 ДЗМ» в 2022г. (Закупка № 0373200009821000626)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w:t>
      </w:r>
      <w:r>
        <w:br w:type="page"/>
      </w:r>
    </w:p>
    <w:p>
      <w:pPr>
        <w:pStyle w:val="Style5"/>
        <w:widowControl w:val="0"/>
        <w:keepNext w:val="0"/>
        <w:keepLines w:val="0"/>
        <w:shd w:val="clear" w:color="auto" w:fill="auto"/>
        <w:bidi w:val="0"/>
        <w:spacing w:before="0" w:after="349" w:line="322" w:lineRule="exact"/>
        <w:ind w:left="20" w:right="20" w:firstLine="0"/>
      </w:pPr>
      <w:r>
        <w:rPr>
          <w:lang w:val="ru-RU" w:eastAsia="ru-RU" w:bidi="ru-RU"/>
          <w:w w:val="100"/>
          <w:spacing w:val="0"/>
          <w:color w:val="000000"/>
          <w:position w:val="0"/>
        </w:rPr>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jc w:val="left"/>
        <w:spacing w:before="0" w:after="319" w:line="260" w:lineRule="exact"/>
        <w:ind w:left="44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(исх. № ЕИ/67193/21 от 02.11.2021).</w:t>
      </w:r>
    </w:p>
    <w:p>
      <w:pPr>
        <w:pStyle w:val="Style5"/>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Комиссией Управления установлено следующее.</w:t>
      </w:r>
    </w:p>
    <w:p>
      <w:pPr>
        <w:pStyle w:val="Style5"/>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Согласно доводам жалобы Заявителя Заказчиком неправомерно размещен протокол признания участника уклонившимся от заключения контракта от 27.10.2021 №ППУ1 на основании предоставления обеспечения исполнения контракта в форме банковской гарантии, не соответствующей требованиям аукционной документации и положениям Закона о контрактной системе.</w:t>
      </w:r>
    </w:p>
    <w:p>
      <w:pPr>
        <w:pStyle w:val="Style12"/>
        <w:tabs>
          <w:tab w:leader="none" w:pos="6174" w:val="left"/>
          <w:tab w:leader="none" w:pos="7846" w:val="center"/>
          <w:tab w:leader="none" w:pos="10178" w:val="right"/>
        </w:tabs>
        <w:widowControl w:val="0"/>
        <w:keepNext w:val="0"/>
        <w:keepLines w:val="0"/>
        <w:shd w:val="clear" w:color="auto" w:fill="auto"/>
        <w:bidi w:val="0"/>
        <w:spacing w:before="0" w:after="0"/>
        <w:ind w:left="20" w:right="20" w:firstLine="700"/>
      </w:pPr>
      <w:r>
        <w:rPr>
          <w:rStyle w:val="CharStyle14"/>
          <w:i w:val="0"/>
          <w:iCs w:val="0"/>
        </w:rPr>
        <w:t xml:space="preserve">В частности, протокол признания участника уклонившимся от заключения контракта от 27.10.2021 №ППУ1 содержит следующее основание: </w:t>
      </w:r>
      <w:r>
        <w:rPr>
          <w:lang w:val="ru-RU" w:eastAsia="ru-RU" w:bidi="ru-RU"/>
          <w:w w:val="100"/>
          <w:spacing w:val="0"/>
          <w:color w:val="000000"/>
          <w:position w:val="0"/>
        </w:rPr>
        <w:t>«Представленная банковская гарантия № 538044 от 22.10.2021 выданная АО Коммерческий Банк «Модульбанк» (далее - Гарантия) условиям, указанных в п.26.2 информационной карты аукционной документации, а именно: 1)в</w:t>
        <w:tab/>
        <w:t>п.3.2</w:t>
        <w:tab/>
        <w:t>Гарантии</w:t>
        <w:tab/>
        <w:t>содержится</w:t>
      </w:r>
    </w:p>
    <w:p>
      <w:pPr>
        <w:pStyle w:val="Style12"/>
        <w:tabs>
          <w:tab w:leader="none" w:pos="7846" w:val="center"/>
          <w:tab w:leader="none" w:pos="10178" w:val="righ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условие «Обязательство уплатить суммы убытков (за исключением упущенной выгоды) в случае расторжения КОНТРАКТА по причине его неисполнения или ненадлежащего исполнения ПРИНЦИПАЛОМ. Между тем в пункте п.26.2 Информационной карты предусмотрено обязательство принципала, надлежащее исполнение которого подлежит обеспечению</w:t>
        <w:tab/>
        <w:t>банковской</w:t>
        <w:tab/>
        <w:t>гарантией:</w:t>
      </w:r>
    </w:p>
    <w:p>
      <w:pPr>
        <w:pStyle w:val="Style12"/>
        <w:tabs>
          <w:tab w:leader="none" w:pos="7846" w:val="center"/>
          <w:tab w:leader="none" w:pos="10178"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«обязательство возместить убытки, понесённые</w:t>
        <w:tab/>
        <w:t>Заказчиком</w:t>
        <w:tab/>
        <w:t>в связи с</w:t>
      </w:r>
    </w:p>
    <w:p>
      <w:pPr>
        <w:pStyle w:val="Style12"/>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неисполнением или ненадлежащим исполнением Подрядчиком своих обязательств по Контракту» ” без исключения упущенной выгоды». Согласно п. 2 ч. 6 ст. 45 Закона № 44-ФЗ основанием для отказа в принятии банковской гарантии заказчиком является несоответствие банковской гарантии условиям, указанным в ч. 2 и 3 ст. 45 Закона № 44-ФЗ».</w:t>
      </w:r>
    </w:p>
    <w:p>
      <w:pPr>
        <w:pStyle w:val="Style5"/>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В соответствии с ч.7 ст.45 Закона о контрактной системе в случае отказа в принятии банковской гарантии заказчик в срок, установленный ч.5 ст.45 Закона о контрактной системе,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pPr>
        <w:pStyle w:val="Style5"/>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При этом, согласно доводам жалобы представленная банковская гарантия не содержит в п.3.2 положения, процитированного в спорном протоколе.</w:t>
      </w:r>
    </w:p>
    <w:p>
      <w:pPr>
        <w:pStyle w:val="Style5"/>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в банковской гарантии, представленной участником, действительно не содержит п.3.2, указанного в протоколе вследствие технической ошибки.</w:t>
      </w:r>
    </w:p>
    <w:p>
      <w:pPr>
        <w:pStyle w:val="Style5"/>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Вместе с тем данная техническая ошибка в протоколе признания участника уклонившимся от заключения контракта не влияет на существо несоответствия банковской гарантии требованиям документации.</w:t>
      </w:r>
    </w:p>
    <w:p>
      <w:pPr>
        <w:pStyle w:val="Style5"/>
        <w:widowControl w:val="0"/>
        <w:keepNext w:val="0"/>
        <w:keepLines w:val="0"/>
        <w:shd w:val="clear" w:color="auto" w:fill="auto"/>
        <w:bidi w:val="0"/>
        <w:spacing w:before="0" w:after="0" w:line="307" w:lineRule="exact"/>
        <w:ind w:left="20" w:right="0" w:firstLine="70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5"/>
        <w:numPr>
          <w:ilvl w:val="0"/>
          <w:numId w:val="3"/>
        </w:numPr>
        <w:tabs>
          <w:tab w:leader="none" w:pos="1522" w:val="left"/>
        </w:tabs>
        <w:widowControl w:val="0"/>
        <w:keepNext w:val="0"/>
        <w:keepLines w:val="0"/>
        <w:shd w:val="clear" w:color="auto" w:fill="auto"/>
        <w:bidi w:val="0"/>
        <w:spacing w:before="0" w:after="0" w:line="307" w:lineRule="exact"/>
        <w:ind w:left="20" w:right="20" w:firstLine="0"/>
      </w:pPr>
      <w:r>
        <w:rPr>
          <w:lang w:val="ru-RU" w:eastAsia="ru-RU" w:bidi="ru-RU"/>
          <w:w w:val="100"/>
          <w:spacing w:val="0"/>
          <w:color w:val="000000"/>
          <w:position w:val="0"/>
        </w:rPr>
        <w:t>№0373200009821000626-3 ООО «Стройбах» признан победителем электронного аукциона.</w:t>
      </w:r>
    </w:p>
    <w:p>
      <w:pPr>
        <w:pStyle w:val="Style5"/>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На основании ч.1 ст.83.2 Закона о контрактной системе по результатам электронной процедуры контракт заключается с победителем электронной процедуры, а в случаях, предусмотренных Законом о контрактной системе,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pPr>
        <w:pStyle w:val="Style5"/>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В силу ч.2 ст.83.2 Закона о контрактной системе в течение пяти дней с даты размещения в единой информационной системе указанных в ч.12 ст.54.7, ч.8 ст.69, ч.8 ст.82.4, ч.23 ст.83.1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ч.23 ст.68 Закона о контрактной системе, информации о товаре (товарном знаке и (или) конкретных показателях товара), информации, предусмотренной п.2 ч.4 ст.54.4, п.7 ч.9 ст.83.1 Закона о контрактной системе, указанных в заявке, окончательном предложении участника электронной процедуры.</w:t>
      </w:r>
    </w:p>
    <w:p>
      <w:pPr>
        <w:pStyle w:val="Style5"/>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В силу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ч.4 ст.83.2 Закона о контрактной системе.</w:t>
      </w:r>
    </w:p>
    <w:p>
      <w:pPr>
        <w:pStyle w:val="Style5"/>
        <w:widowControl w:val="0"/>
        <w:keepNext w:val="0"/>
        <w:keepLines w:val="0"/>
        <w:shd w:val="clear" w:color="auto" w:fill="auto"/>
        <w:bidi w:val="0"/>
        <w:spacing w:before="0" w:after="0" w:line="312" w:lineRule="exact"/>
        <w:ind w:left="20" w:right="20" w:firstLine="700"/>
      </w:pPr>
      <w:r>
        <w:rPr>
          <w:lang w:val="ru-RU" w:eastAsia="ru-RU" w:bidi="ru-RU"/>
          <w:w w:val="100"/>
          <w:spacing w:val="0"/>
          <w:color w:val="000000"/>
          <w:position w:val="0"/>
        </w:rPr>
        <w:t>На основании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pPr>
        <w:pStyle w:val="Style5"/>
        <w:widowControl w:val="0"/>
        <w:keepNext w:val="0"/>
        <w:keepLines w:val="0"/>
        <w:shd w:val="clear" w:color="auto" w:fill="auto"/>
        <w:bidi w:val="0"/>
        <w:spacing w:before="0" w:after="0" w:line="312" w:lineRule="exact"/>
        <w:ind w:left="20" w:right="20" w:firstLine="700"/>
      </w:pPr>
      <w:r>
        <w:rPr>
          <w:lang w:val="ru-RU" w:eastAsia="ru-RU" w:bidi="ru-RU"/>
          <w:w w:val="100"/>
          <w:spacing w:val="0"/>
          <w:color w:val="000000"/>
          <w:position w:val="0"/>
        </w:rPr>
        <w:t>В силу ч.3 ст.96 Закона о контрактной системе исполнение контракта может обеспечиваться, в частности, предоставлением банковской гарантии, выданной банком и соответствующей требованиям ст.45 Закона о контрактной системы,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Закона о контрактной системе.</w:t>
      </w:r>
    </w:p>
    <w:p>
      <w:pPr>
        <w:pStyle w:val="Style5"/>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Ч.2 ст.45 Закона о контрактной системе установлен перечень информации, которая должна содержать банковская гарантия.</w:t>
      </w:r>
    </w:p>
    <w:p>
      <w:pPr>
        <w:pStyle w:val="Style5"/>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В соответствии с ч.5 ст.96 Закона о контактной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5"/>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В силу ч.3 ст.83.2 Закона о контрактной системе Заявитель подписал со своей стороны проект контракта с приложением Банковской гарантии от 22.10.2021 № 538044, выданной АО КБ «Модульбанк» (далее - банковская гарантия).</w:t>
      </w:r>
    </w:p>
    <w:p>
      <w:pPr>
        <w:pStyle w:val="Style5"/>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Согласно ч.5 ст.45 Закона о контрактной системе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pPr>
        <w:pStyle w:val="Style5"/>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Пунктом 26.2 Информационной карты аукционной документации предъявлено требование о включении в банковскую гарантию, представляемую в качестве обеспечения контракта, в том числе следующих обязательств: «обязательство возместить убытки, понесенные Заказчиком в связи с неисполнением или ненадлежащим исполнением Подрядчиком своих обязательств по Контракту».</w:t>
      </w:r>
    </w:p>
    <w:p>
      <w:pPr>
        <w:pStyle w:val="Style5"/>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 xml:space="preserve">Согласно п.2 ст. 15 ГК РФ 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w:t>
      </w:r>
      <w:r>
        <w:rPr>
          <w:rStyle w:val="CharStyle15"/>
        </w:rPr>
        <w:t>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r>
        <w:rPr>
          <w:lang w:val="ru-RU" w:eastAsia="ru-RU" w:bidi="ru-RU"/>
          <w:w w:val="100"/>
          <w:spacing w:val="0"/>
          <w:color w:val="000000"/>
          <w:position w:val="0"/>
        </w:rPr>
        <w:t>.</w:t>
      </w:r>
    </w:p>
    <w:p>
      <w:pPr>
        <w:pStyle w:val="Style5"/>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 xml:space="preserve">Вместе с тем в п.2 Банковской гарантии указано: «...Гарантия обеспечивает исполнение Принципалом его обязательств перед Бенефициаром по Контракту, в том числе, обязательств Принципала по уплате неустоек (штрафов, пеней), предусмотренных Контрактом, а также обязательств Принципала по возмещению убытков </w:t>
      </w:r>
      <w:r>
        <w:rPr>
          <w:rStyle w:val="CharStyle15"/>
        </w:rPr>
        <w:t>(за исключением упущенной выгоды)</w:t>
      </w:r>
      <w:r>
        <w:rPr>
          <w:lang w:val="ru-RU" w:eastAsia="ru-RU" w:bidi="ru-RU"/>
          <w:w w:val="100"/>
          <w:spacing w:val="0"/>
          <w:color w:val="000000"/>
          <w:position w:val="0"/>
        </w:rPr>
        <w:t xml:space="preserve"> при их наличии в случаях и на условиях, предусмотренных Контрактом. Настоящая Гарантия не обеспечивает возврат уплаченных Бенефициаром Принципалу авансовых платежей по Контракту».</w:t>
      </w:r>
    </w:p>
    <w:p>
      <w:pPr>
        <w:pStyle w:val="Style5"/>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Таким образом, в соответствии с условиями гарантии обязательства Гаранта не распространяются на упущенную выгоду Бенефициара, что напрямую не соответствует требованиям аукционной документации, которая не содержала указанное исключение.</w:t>
      </w:r>
    </w:p>
    <w:p>
      <w:pPr>
        <w:pStyle w:val="Style5"/>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С учетом вышеизложенного, Комиссия Управления приходит к выводу, что Банковская Гарантия не содержит в полном объеме обязательств по контракту, которые должны быть обеспечены в соответствии с п.26.2 Информационной карты аукционной документации.</w:t>
      </w:r>
    </w:p>
    <w:p>
      <w:pPr>
        <w:pStyle w:val="Style5"/>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Согласно ч. 6 ст. 45 Закона о контрактной системе основанием для отказа в принятии банковской гарантии заказчиком является:</w:t>
      </w:r>
    </w:p>
    <w:p>
      <w:pPr>
        <w:pStyle w:val="Style5"/>
        <w:numPr>
          <w:ilvl w:val="0"/>
          <w:numId w:val="5"/>
        </w:numPr>
        <w:tabs>
          <w:tab w:leader="none" w:pos="1153" w:val="left"/>
        </w:tabs>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отсутствие информации о банковской гарантии в реестре банковских гарантий;</w:t>
      </w:r>
    </w:p>
    <w:p>
      <w:pPr>
        <w:pStyle w:val="Style5"/>
        <w:numPr>
          <w:ilvl w:val="0"/>
          <w:numId w:val="5"/>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несоответствие банковской гарантии условиям, указанным в ч.2 и 3 ст. 45 Закона о контрактной системе;</w:t>
      </w:r>
    </w:p>
    <w:p>
      <w:pPr>
        <w:pStyle w:val="Style5"/>
        <w:numPr>
          <w:ilvl w:val="0"/>
          <w:numId w:val="5"/>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Таким образом, Комиссия Управления приходит к выводу о необоснованности доводов жалобы, так как у Заказчика имелись основания для признания банковской гарантии не соответствующей требованиям аукционной документации.</w:t>
      </w:r>
    </w:p>
    <w:p>
      <w:pPr>
        <w:pStyle w:val="Style5"/>
        <w:widowControl w:val="0"/>
        <w:keepNext w:val="0"/>
        <w:keepLines w:val="0"/>
        <w:shd w:val="clear" w:color="auto" w:fill="auto"/>
        <w:bidi w:val="0"/>
        <w:spacing w:before="0" w:after="349" w:line="32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0"/>
        <w:widowControl w:val="0"/>
        <w:keepNext/>
        <w:keepLines/>
        <w:shd w:val="clear" w:color="auto" w:fill="auto"/>
        <w:bidi w:val="0"/>
        <w:jc w:val="center"/>
        <w:spacing w:before="0" w:after="314" w:line="260" w:lineRule="exact"/>
        <w:ind w:left="0" w:right="0" w:firstLine="0"/>
      </w:pPr>
      <w:bookmarkStart w:id="1" w:name="bookmark1"/>
      <w:r>
        <w:rPr>
          <w:lang w:val="ru-RU" w:eastAsia="ru-RU" w:bidi="ru-RU"/>
          <w:w w:val="100"/>
          <w:spacing w:val="0"/>
          <w:color w:val="000000"/>
          <w:position w:val="0"/>
        </w:rPr>
        <w:t>РЕШИЛА:</w:t>
      </w:r>
      <w:bookmarkEnd w:id="1"/>
    </w:p>
    <w:p>
      <w:pPr>
        <w:pStyle w:val="Style5"/>
        <w:numPr>
          <w:ilvl w:val="0"/>
          <w:numId w:val="7"/>
        </w:numPr>
        <w:widowControl w:val="0"/>
        <w:keepNext w:val="0"/>
        <w:keepLines w:val="0"/>
        <w:shd w:val="clear" w:color="auto" w:fill="auto"/>
        <w:bidi w:val="0"/>
        <w:spacing w:before="0" w:after="0" w:line="307" w:lineRule="exact"/>
        <w:ind w:left="20" w:right="20" w:firstLine="700"/>
      </w:pPr>
      <w:r>
        <w:rPr>
          <w:lang w:val="ru-RU" w:eastAsia="ru-RU" w:bidi="ru-RU"/>
          <w:w w:val="100"/>
          <w:spacing w:val="0"/>
          <w:color w:val="000000"/>
          <w:position w:val="0"/>
        </w:rPr>
        <w:t xml:space="preserve"> Признать жалобу ООО «Стройбах» на действия ГБУЗ «ГКБ № 13 ДЗМ» необоснованной.</w:t>
      </w:r>
    </w:p>
    <w:p>
      <w:pPr>
        <w:pStyle w:val="Style5"/>
        <w:numPr>
          <w:ilvl w:val="0"/>
          <w:numId w:val="7"/>
        </w:numPr>
        <w:widowControl w:val="0"/>
        <w:keepNext w:val="0"/>
        <w:keepLines w:val="0"/>
        <w:shd w:val="clear" w:color="auto" w:fill="auto"/>
        <w:bidi w:val="0"/>
        <w:spacing w:before="0" w:after="296" w:line="302" w:lineRule="exact"/>
        <w:ind w:left="20" w:right="2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наложенные письмом Московского УФАС России (исх. №ЕИ/67193/21 от 02.11.2021).</w:t>
      </w:r>
    </w:p>
    <w:p>
      <w:pPr>
        <w:pStyle w:val="Style5"/>
        <w:widowControl w:val="0"/>
        <w:keepNext w:val="0"/>
        <w:keepLines w:val="0"/>
        <w:shd w:val="clear" w:color="auto" w:fill="auto"/>
        <w:bidi w:val="0"/>
        <w:spacing w:before="0" w:after="338" w:line="307" w:lineRule="exact"/>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845" w:val="right"/>
          <w:tab w:leader="none" w:pos="10124" w:val="right"/>
        </w:tabs>
        <w:widowControl w:val="0"/>
        <w:keepNext w:val="0"/>
        <w:keepLines w:val="0"/>
        <w:shd w:val="clear" w:color="auto" w:fill="auto"/>
        <w:bidi w:val="0"/>
        <w:spacing w:before="0" w:after="472" w:line="260" w:lineRule="exact"/>
        <w:ind w:left="20" w:right="0" w:firstLine="0"/>
      </w:pPr>
      <w:r>
        <w:rPr>
          <w:lang w:val="ru-RU" w:eastAsia="ru-RU" w:bidi="ru-RU"/>
          <w:w w:val="100"/>
          <w:spacing w:val="0"/>
          <w:color w:val="000000"/>
          <w:position w:val="0"/>
        </w:rPr>
        <w:t>Председатель Комиссии</w:t>
        <w:tab/>
        <w:t>Л.Н.</w:t>
        <w:tab/>
        <w:t>Харченко</w:t>
      </w:r>
    </w:p>
    <w:p>
      <w:pPr>
        <w:pStyle w:val="Style5"/>
        <w:tabs>
          <w:tab w:leader="none" w:pos="10124" w:val="right"/>
          <w:tab w:leader="none" w:pos="10129" w:val="right"/>
        </w:tabs>
        <w:widowControl w:val="0"/>
        <w:keepNext w:val="0"/>
        <w:keepLines w:val="0"/>
        <w:shd w:val="clear" w:color="auto" w:fill="auto"/>
        <w:bidi w:val="0"/>
        <w:spacing w:before="0" w:after="352" w:line="260" w:lineRule="exact"/>
        <w:ind w:left="20" w:right="0" w:firstLine="0"/>
      </w:pPr>
      <w:r>
        <w:rPr>
          <w:lang w:val="ru-RU" w:eastAsia="ru-RU" w:bidi="ru-RU"/>
          <w:w w:val="100"/>
          <w:spacing w:val="0"/>
          <w:color w:val="000000"/>
          <w:position w:val="0"/>
        </w:rPr>
        <w:t>Члены комиссии</w:t>
        <w:tab/>
        <w:t>А.С.</w:t>
        <w:tab/>
        <w:t>Леонтьева</w:t>
      </w:r>
    </w:p>
    <w:p>
      <w:pPr>
        <w:pStyle w:val="Style5"/>
        <w:widowControl w:val="0"/>
        <w:keepNext w:val="0"/>
        <w:keepLines w:val="0"/>
        <w:shd w:val="clear" w:color="auto" w:fill="auto"/>
        <w:bidi w:val="0"/>
        <w:jc w:val="right"/>
        <w:spacing w:before="0" w:after="3366" w:line="260" w:lineRule="exact"/>
        <w:ind w:left="0" w:right="20" w:firstLine="0"/>
      </w:pPr>
      <w:r>
        <w:rPr>
          <w:lang w:val="ru-RU" w:eastAsia="ru-RU" w:bidi="ru-RU"/>
          <w:w w:val="100"/>
          <w:spacing w:val="0"/>
          <w:color w:val="000000"/>
          <w:position w:val="0"/>
        </w:rPr>
        <w:t>Н.А. Узкий</w:t>
      </w:r>
    </w:p>
    <w:p>
      <w:pPr>
        <w:pStyle w:val="Style16"/>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Исп.Леонтьева А.С.</w:t>
      </w:r>
    </w:p>
    <w:sectPr>
      <w:footnotePr>
        <w:pos w:val="pageBottom"/>
        <w:numFmt w:val="decimal"/>
        <w:numRestart w:val="continuous"/>
      </w:footnotePr>
      <w:type w:val="continuous"/>
      <w:pgSz w:w="11906" w:h="16838"/>
      <w:pgMar w:top="1113" w:left="846" w:right="822"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1.11.%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2.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val="0"/>
      <w:bCs w:val="0"/>
      <w:i/>
      <w:iCs/>
      <w:u w:val="none"/>
      <w:strike w:val="0"/>
      <w:smallCaps w:val="0"/>
      <w:sz w:val="26"/>
      <w:szCs w:val="26"/>
      <w:rFonts w:ascii="Times New Roman" w:eastAsia="Times New Roman" w:hAnsi="Times New Roman" w:cs="Times New Roman"/>
    </w:rPr>
  </w:style>
  <w:style w:type="character" w:customStyle="1" w:styleId="CharStyle14">
    <w:name w:val="Основной текст (3) + Не курсив"/>
    <w:basedOn w:val="CharStyle13"/>
    <w:rPr>
      <w:lang w:val="ru-RU" w:eastAsia="ru-RU" w:bidi="ru-RU"/>
      <w:i/>
      <w:iCs/>
      <w:w w:val="100"/>
      <w:spacing w:val="0"/>
      <w:color w:val="000000"/>
      <w:position w:val="0"/>
    </w:rPr>
  </w:style>
  <w:style w:type="character" w:customStyle="1" w:styleId="CharStyle15">
    <w:name w:val="Основной текст + Курсив"/>
    <w:basedOn w:val="CharStyle6"/>
    <w:rPr>
      <w:lang w:val="ru-RU" w:eastAsia="ru-RU" w:bidi="ru-RU"/>
      <w:i/>
      <w:iCs/>
      <w:w w:val="100"/>
      <w:spacing w:val="0"/>
      <w:color w:val="000000"/>
      <w:position w:val="0"/>
    </w:rPr>
  </w:style>
  <w:style w:type="character" w:customStyle="1" w:styleId="CharStyle17">
    <w:name w:val="Основной текст (4)_"/>
    <w:basedOn w:val="DefaultParagraphFont"/>
    <w:link w:val="Style16"/>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7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line="307" w:lineRule="exact"/>
    </w:pPr>
    <w:rPr>
      <w:b w:val="0"/>
      <w:bCs w:val="0"/>
      <w:i/>
      <w:iCs/>
      <w:u w:val="none"/>
      <w:strike w:val="0"/>
      <w:smallCaps w:val="0"/>
      <w:sz w:val="26"/>
      <w:szCs w:val="26"/>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jc w:val="both"/>
      <w:spacing w:before="342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