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0"/>
        <w:ind w:left="5320" w:right="200" w:firstLine="0"/>
      </w:pPr>
      <w:r>
        <w:rPr>
          <w:lang w:val="ru-RU" w:eastAsia="ru-RU" w:bidi="ru-RU"/>
          <w:w w:val="100"/>
          <w:spacing w:val="0"/>
          <w:color w:val="000000"/>
          <w:position w:val="0"/>
        </w:rPr>
        <w:t>ГБУ «Жилищник района Академический»</w:t>
      </w:r>
    </w:p>
    <w:p>
      <w:pPr>
        <w:pStyle w:val="Style3"/>
        <w:widowControl w:val="0"/>
        <w:keepNext w:val="0"/>
        <w:keepLines w:val="0"/>
        <w:shd w:val="clear" w:color="auto" w:fill="auto"/>
        <w:bidi w:val="0"/>
        <w:jc w:val="left"/>
        <w:spacing w:before="0" w:after="0"/>
        <w:ind w:left="5320" w:right="200" w:firstLine="0"/>
      </w:pPr>
      <w:r>
        <w:rPr>
          <w:lang w:val="ru-RU" w:eastAsia="ru-RU" w:bidi="ru-RU"/>
          <w:w w:val="100"/>
          <w:spacing w:val="0"/>
          <w:color w:val="000000"/>
          <w:position w:val="0"/>
        </w:rPr>
        <w:t>ул. Крижижановского, д. 8/2, г. Москва, 117292</w:t>
      </w:r>
    </w:p>
    <w:p>
      <w:pPr>
        <w:pStyle w:val="Style3"/>
        <w:widowControl w:val="0"/>
        <w:keepNext w:val="0"/>
        <w:keepLines w:val="0"/>
        <w:shd w:val="clear" w:color="auto" w:fill="auto"/>
        <w:bidi w:val="0"/>
        <w:jc w:val="left"/>
        <w:spacing w:before="0" w:after="0" w:line="643" w:lineRule="exact"/>
        <w:ind w:left="5320" w:right="0" w:firstLine="0"/>
      </w:pPr>
      <w:r>
        <w:rPr>
          <w:lang w:val="ru-RU" w:eastAsia="ru-RU" w:bidi="ru-RU"/>
          <w:w w:val="100"/>
          <w:spacing w:val="0"/>
          <w:color w:val="000000"/>
          <w:position w:val="0"/>
        </w:rPr>
        <w:t>ГКУ «ДЗ ЖКХиБ ЮЗАО»</w:t>
      </w:r>
    </w:p>
    <w:p>
      <w:pPr>
        <w:pStyle w:val="Style3"/>
        <w:widowControl w:val="0"/>
        <w:keepNext w:val="0"/>
        <w:keepLines w:val="0"/>
        <w:shd w:val="clear" w:color="auto" w:fill="auto"/>
        <w:bidi w:val="0"/>
        <w:jc w:val="left"/>
        <w:spacing w:before="0" w:after="0" w:line="643" w:lineRule="exact"/>
        <w:ind w:left="5320" w:right="0" w:firstLine="0"/>
      </w:pPr>
      <w:r>
        <w:rPr>
          <w:lang w:val="ru-RU" w:eastAsia="ru-RU" w:bidi="ru-RU"/>
          <w:w w:val="100"/>
          <w:spacing w:val="0"/>
          <w:color w:val="000000"/>
          <w:position w:val="0"/>
        </w:rPr>
        <w:t>ул. Гарибальди, д. 14, г. Москва, 117393</w:t>
      </w:r>
    </w:p>
    <w:p>
      <w:pPr>
        <w:pStyle w:val="Style3"/>
        <w:widowControl w:val="0"/>
        <w:keepNext w:val="0"/>
        <w:keepLines w:val="0"/>
        <w:shd w:val="clear" w:color="auto" w:fill="auto"/>
        <w:bidi w:val="0"/>
        <w:jc w:val="left"/>
        <w:spacing w:before="0" w:after="0" w:line="643" w:lineRule="exact"/>
        <w:ind w:left="5320" w:right="0" w:firstLine="0"/>
      </w:pPr>
      <w:r>
        <w:rPr>
          <w:lang w:val="ru-RU" w:eastAsia="ru-RU" w:bidi="ru-RU"/>
          <w:w w:val="100"/>
          <w:spacing w:val="0"/>
          <w:color w:val="000000"/>
          <w:position w:val="0"/>
        </w:rPr>
        <w:t>ООО «РМА»</w:t>
      </w:r>
    </w:p>
    <w:p>
      <w:pPr>
        <w:pStyle w:val="Style3"/>
        <w:widowControl w:val="0"/>
        <w:keepNext w:val="0"/>
        <w:keepLines w:val="0"/>
        <w:shd w:val="clear" w:color="auto" w:fill="auto"/>
        <w:bidi w:val="0"/>
        <w:jc w:val="left"/>
        <w:spacing w:before="0" w:after="540"/>
        <w:ind w:left="5320" w:right="200" w:firstLine="0"/>
      </w:pPr>
      <w:r>
        <w:rPr>
          <w:lang w:val="ru-RU" w:eastAsia="ru-RU" w:bidi="ru-RU"/>
          <w:w w:val="100"/>
          <w:spacing w:val="0"/>
          <w:color w:val="000000"/>
          <w:position w:val="0"/>
        </w:rPr>
        <w:t>Электродный пр-д., д. 6, стр. 1, г. Москва, 111123</w:t>
      </w:r>
    </w:p>
    <w:p>
      <w:pPr>
        <w:pStyle w:val="Style6"/>
        <w:tabs>
          <w:tab w:leader="none" w:pos="11342" w:val="right"/>
          <w:tab w:leader="none" w:pos="12398" w:val="right"/>
        </w:tabs>
        <w:widowControl w:val="0"/>
        <w:keepNext w:val="0"/>
        <w:keepLines w:val="0"/>
        <w:shd w:val="clear" w:color="auto" w:fill="auto"/>
        <w:bidi w:val="0"/>
        <w:jc w:val="left"/>
        <w:spacing w:before="0" w:after="0"/>
        <w:ind w:left="2260" w:right="2220" w:firstLine="2160"/>
      </w:pPr>
      <w:r>
        <w:rPr>
          <w:lang w:val="ru-RU" w:eastAsia="ru-RU" w:bidi="ru-RU"/>
          <w:w w:val="100"/>
          <w:spacing w:val="0"/>
          <w:color w:val="000000"/>
          <w:position w:val="0"/>
        </w:rPr>
        <w:t>РЕШЕНИЕ по делу № 077/06/106-19845/2021 о нарушении законодательства о контрактной системе</w:t>
      </w:r>
    </w:p>
    <w:p>
      <w:pPr>
        <w:pStyle w:val="Style6"/>
        <w:numPr>
          <w:ilvl w:val="0"/>
          <w:numId w:val="1"/>
        </w:numPr>
        <w:tabs>
          <w:tab w:leader="none" w:pos="9102" w:val="right"/>
          <w:tab w:leader="none" w:pos="10158" w:val="right"/>
          <w:tab w:leader="none" w:pos="8958"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Москва</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при участии представителей: ГКУ «ДЗ ЖКХиБ ЮЗАО», ООО «РМА», в отсутствие представителей ГБУ «Жил</w:t>
      </w:r>
      <w:r>
        <w:rPr>
          <w:rStyle w:val="CharStyle8"/>
        </w:rPr>
        <w:t>ищн</w:t>
      </w:r>
      <w:r>
        <w:rPr>
          <w:lang w:val="ru-RU" w:eastAsia="ru-RU" w:bidi="ru-RU"/>
          <w:w w:val="100"/>
          <w:spacing w:val="0"/>
          <w:color w:val="000000"/>
          <w:position w:val="0"/>
        </w:rPr>
        <w:t>ик района Академический», о времени и порядке заседания Комиссии Управления уведомлены надлежащим образом письмом Московского УФАС России от 09.11.2021 № ЕИ/67 838/21,</w:t>
      </w:r>
    </w:p>
    <w:p>
      <w:pPr>
        <w:pStyle w:val="Style3"/>
        <w:widowControl w:val="0"/>
        <w:keepNext w:val="0"/>
        <w:keepLines w:val="0"/>
        <w:shd w:val="clear" w:color="auto" w:fill="auto"/>
        <w:bidi w:val="0"/>
        <w:jc w:val="both"/>
        <w:spacing w:before="0" w:after="176"/>
        <w:ind w:left="20" w:right="20" w:firstLine="700"/>
      </w:pPr>
      <w:r>
        <w:rPr>
          <w:lang w:val="ru-RU" w:eastAsia="ru-RU" w:bidi="ru-RU"/>
          <w:w w:val="100"/>
          <w:spacing w:val="0"/>
          <w:color w:val="000000"/>
          <w:position w:val="0"/>
        </w:rPr>
        <w:t>рассмотрев жалобу ООО «РМА» (далее — Заявитель) на действия ГКУ «ДЗ ЖКХиБ ЮЗАО» (далее — Заказчик) при проведении электронного аукциона на право заключения государственного контракта на оказание услуг по проведению ежедневных предрейсовых и послерейсовых мед</w:t>
      </w:r>
      <w:r>
        <w:rPr>
          <w:rStyle w:val="CharStyle8"/>
        </w:rPr>
        <w:t>ици</w:t>
      </w:r>
      <w:r>
        <w:rPr>
          <w:lang w:val="ru-RU" w:eastAsia="ru-RU" w:bidi="ru-RU"/>
          <w:w w:val="100"/>
          <w:spacing w:val="0"/>
          <w:color w:val="000000"/>
          <w:position w:val="0"/>
        </w:rPr>
        <w:t>нских осмотров для нужд ГБУ «Жил</w:t>
      </w:r>
      <w:r>
        <w:rPr>
          <w:rStyle w:val="CharStyle8"/>
        </w:rPr>
        <w:t>ищн</w:t>
      </w:r>
      <w:r>
        <w:rPr>
          <w:lang w:val="ru-RU" w:eastAsia="ru-RU" w:bidi="ru-RU"/>
          <w:w w:val="100"/>
          <w:spacing w:val="0"/>
          <w:color w:val="000000"/>
          <w:position w:val="0"/>
        </w:rPr>
        <w:t>ик района Академический» в 2022г. (Закупка № 0373200032221001428)</w:t>
      </w:r>
    </w:p>
    <w:p>
      <w:pPr>
        <w:pStyle w:val="Style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000054488057</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(далее - электронный аукцион, аукцион), в соответствии с Федеральным законом от</w:t>
      </w:r>
    </w:p>
    <w:p>
      <w:pPr>
        <w:pStyle w:val="Style3"/>
        <w:numPr>
          <w:ilvl w:val="0"/>
          <w:numId w:val="3"/>
        </w:numPr>
        <w:tabs>
          <w:tab w:leader="none" w:pos="1374" w:val="left"/>
        </w:tabs>
        <w:widowControl w:val="0"/>
        <w:keepNext w:val="0"/>
        <w:keepLines w:val="0"/>
        <w:shd w:val="clear" w:color="auto" w:fill="auto"/>
        <w:bidi w:val="0"/>
        <w:jc w:val="both"/>
        <w:spacing w:before="0" w:after="300"/>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8"/>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1"/>
        <w:widowControl w:val="0"/>
        <w:keepNext/>
        <w:keepLines/>
        <w:shd w:val="clear" w:color="auto" w:fill="auto"/>
        <w:bidi w:val="0"/>
        <w:jc w:val="left"/>
        <w:spacing w:before="0" w:after="0"/>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Московское УФАС России поступила жалоба Заявителя на действия конкурсной комиссии Заказчика при проведении указанного электронного аукциона.</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Заказчиком представлены документы и сведения, запрашиваемые письмом Московского УФАС России №ЕИ/67838/21 от 09.11.2021.</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Заявитель оспаривает установление Заказчиком требования к участникам закупки о наличии и представлении в составе второй части заявки лицензии на осуществление медицинской деятельности в соответствии с п.46 ч. 1 ст. 12 Федерального закона от 04.05.2011 № 99-ФЗ «О лицензировании отдельных видов деятельности», предусматривающей оказание услуг по медицинским осмотрам (предрейсовым, послерейсовым), медицинским осмотрам (предсменным, послесменным), без указания на вид осуществляемой деятельности по медицинскому освидетельствованию на состояние опьянения (алкогольного, наркотического или иного токсического).</w:t>
      </w:r>
    </w:p>
    <w:p>
      <w:pPr>
        <w:pStyle w:val="Style3"/>
        <w:tabs>
          <w:tab w:leader="none" w:pos="8262"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а также требования к содержанию, составу заявки на участие в таком аукционе в соответствии с ч.3-6</w:t>
        <w:tab/>
        <w:t>ст.66 Закона</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п.1 ч.1 ст.31 Закона о контрактной системе, при осуществлении закупки заказчик устанавливает в том числе единое требование к участникам закупки и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Ч.6 ст.31 Закона о контрактной системе установлено, что Заказчики не вправе устанавливать требования к участникам закупок в нарушение требований Закона о контрактной системе.</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соответствии с п.2 ч.5 ст.66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п.1 ч.1 ст.31Закона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3 - 9 части 1 статьи 31 Закона о контрактной системе (указанная декларация предоставляется с использованием программно</w:t>
        <w:softHyphen/>
        <w:t>аппаратных средств электронной площадки).</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Комиссией Управления установлено, что согласно Извещению о проведении аукциона объектом закупки является оказание услуг по проведению предрейсовых и послерейсовых медицинских осмотров водителей транспортных средств.</w:t>
      </w:r>
    </w:p>
    <w:p>
      <w:pPr>
        <w:pStyle w:val="Style3"/>
        <w:tabs>
          <w:tab w:leader="none" w:pos="4782" w:val="left"/>
        </w:tabs>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П.16.1 информационной карты аукционной документации установлено требование к участникам закупки об обладании лицензии на осуществление медицинской деятельности, перечень услуг которых включает медицинские осмотры (предрейсовые, послерейсовые), в соответствии с п. 46 ч. 1 ст. 12 Федерального закона № 99-ФЗ от 04.05.2011 г. «О лицензировании отдельных видов деятельности», которая предоставляется согласно Постановлением Правительства РФ от 01.06.2021</w:t>
        <w:tab/>
        <w:t>№852 «О лицензировании медицинской</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 xml:space="preserve">Комиссией Управления установлено, что в п.18.2 информационной карты аукционной документации Заказчиком также установлено требование к участникам закупки о предоставлении в составе вторых частей заявок лицензии на осуществление медицинской деятельности, предусматривающей выполнение работ (услуг) </w:t>
      </w:r>
      <w:r>
        <w:rPr>
          <w:rStyle w:val="CharStyle13"/>
        </w:rPr>
        <w:t>по медицинским осмотрам (предрейсовым, послерейсовым)».</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составе жалобы Заявитель указывает, что в п.3.1 Технического задания предусмотрено выявление признаков опьянения (алкогольного, наркотического или иного токсического), остаточных явлений опьянений, включая проведение лабораторных и инструментальных исследований: количественного определения алкоголя в выдыхаемом воздухе, что предусматривает необходимость наличия в лицензии на осуществление медицинской деятельности указания на право проведения медицинского освидетельствования на состояние опьянения (алкогольного, наркотического или иного токсического).</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На заседании Комиссии Управления представитель Заказчика пояснил, что объектом закупки является исключительно оказание услуг по проведению предрейсового и послерейсового медицинского осмотра водителей транспортных средств, при этом условиями документации не предусмотрено проведение медицинского освидетельствования водителей на состояние опьянения (алкогольного, наркотического или иного токсического).</w:t>
      </w:r>
    </w:p>
    <w:p>
      <w:pPr>
        <w:pStyle w:val="Style3"/>
        <w:tabs>
          <w:tab w:leader="none" w:pos="8594" w:val="left"/>
        </w:tabs>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П. 3.1 Технического задания установлен состав услуг:</w:t>
        <w:tab/>
        <w:t>сбор жалоб,</w:t>
      </w:r>
    </w:p>
    <w:p>
      <w:pPr>
        <w:pStyle w:val="Style3"/>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визуальный осмотр, осмотр видимых слизистых и кожных покровов, общая термометрия, измерение артериального давления на периферических артериях, исследование пульса; выявление признаков опьянения (алкогольного, наркотического или иного токсического), остаточных явлений опьянений, включая проведение лабораторных и инструментальных исследований: количественного определения алкоголя в выдыхаемом воздухе; 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Комиссия Управления отмечает, что в соответствии с ч. 3 и ч. 5 ст. 23 Федерального закона от 10.12.1995 № 196-ФЗ «О безопасности дорожного движения» на организацию, осуществляющую возможность управления транспортными средства, возлагается требование о проведении обязательных предрейсовых и послерейсовых медицинских осмотров.</w:t>
      </w:r>
    </w:p>
    <w:p>
      <w:pPr>
        <w:pStyle w:val="Style3"/>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Также приказом Министерства здравоохранения Российской Федерации от</w:t>
      </w:r>
    </w:p>
    <w:p>
      <w:pPr>
        <w:pStyle w:val="Style3"/>
        <w:numPr>
          <w:ilvl w:val="0"/>
          <w:numId w:val="5"/>
        </w:numPr>
        <w:tabs>
          <w:tab w:leader="none" w:pos="1394"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866н «Об утверждении классификатора работ (услуг), составляющих медицинскую деятельность» производится разграничение таких видов медицинской как медицинские осмотры, в состав которых входит деятельность по медицинским осмотрам (предсменным, предрейсовым, послесменным, послерейсовым), и медицинских освидетельствований, включающих в себя деятельность по медицинскому освидетельствованию на состояние опьянения (алкогольного, наркотического или иного токсического).</w:t>
      </w:r>
    </w:p>
    <w:p>
      <w:pPr>
        <w:pStyle w:val="Style3"/>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Согласно ч.1, п.4,5 ч. 2 ст. 46 Федерального закона от 21.11.2011 № 323-ФЗ «Об основах охраны здоровья граждан в Российской Федерации»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Style3"/>
        <w:tabs>
          <w:tab w:leader="none" w:pos="2819" w:val="left"/>
        </w:tabs>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В силу п.4 приказа Министерства здравоохранения Российской Федерации от</w:t>
      </w:r>
    </w:p>
    <w:p>
      <w:pPr>
        <w:pStyle w:val="Style3"/>
        <w:numPr>
          <w:ilvl w:val="0"/>
          <w:numId w:val="7"/>
        </w:numPr>
        <w:tabs>
          <w:tab w:leader="none" w:pos="2079" w:val="left"/>
          <w:tab w:leader="none" w:pos="153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w:t>
        <w:tab/>
        <w:t xml:space="preserve">835н «Об утверждении Порядка проведения предсменных, предрейсовых и послесменных, послерейсовых медицинских осмотров» (далее-приказ №835н) предсменные, предрейсовые медицинские осмотры проводятся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w:t>
      </w:r>
      <w:r>
        <w:rPr>
          <w:rStyle w:val="CharStyle13"/>
        </w:rPr>
        <w:t>том числе алкогольного, наркотического или иного токсического опьянения и остаточных явлений такого опьянения.</w:t>
      </w:r>
    </w:p>
    <w:p>
      <w:pPr>
        <w:pStyle w:val="Style14"/>
        <w:widowControl w:val="0"/>
        <w:keepNext w:val="0"/>
        <w:keepLines w:val="0"/>
        <w:shd w:val="clear" w:color="auto" w:fill="auto"/>
        <w:bidi w:val="0"/>
        <w:spacing w:before="0" w:after="0"/>
        <w:ind w:left="40" w:right="40"/>
      </w:pPr>
      <w:r>
        <w:rPr>
          <w:rStyle w:val="CharStyle16"/>
          <w:i w:val="0"/>
          <w:iCs w:val="0"/>
        </w:rPr>
        <w:t xml:space="preserve">Согласно п. 5 приказа №838н </w:t>
      </w:r>
      <w:r>
        <w:rPr>
          <w:lang w:val="ru-RU" w:eastAsia="ru-RU" w:bidi="ru-RU"/>
          <w:w w:val="100"/>
          <w:spacing w:val="0"/>
          <w:color w:val="000000"/>
          <w:position w:val="0"/>
        </w:rPr>
        <w:t>послесменные, послерейсовые медицинские осмотры проводятся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В силу п.8 приказа № 835н предсменные, предрейсовые и послесменные, послерейсовые медицинские осмотры проводятся медицинскими работниками, имеющими высшее и (или) среднее профессиональное образование, медицинской организацией или иной организацией, осуществляющей медицинскую деятельность (в том числе медицинским работником, состоящим в штате работодателя) </w:t>
      </w:r>
      <w:r>
        <w:rPr>
          <w:rStyle w:val="CharStyle13"/>
        </w:rPr>
        <w:t>при наличии лицензии на осуществление медицинской деятельности, предусматривающей выполнение работ (услуг) по медицинским осмотрам (предрейсовым, послерейсовым), медицинским осмотрам (предсменным, послесменным)</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Таким образом, на основании имеющихся документов и сведений, Комиссия Управления приходит к выводу, что вышеуказанный довод жалобы Заявителя не нашел своего подтверждения и является необоснованным, поскольку с учетом предмета закупки для выдачи заключения о наличии или отсутствии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без выдачи медицинского заключения об установлении состояния опьянения или неустановлении состояния опьянения достаточно обладания участником закупки лицензией на осуществление медицинской деятельности на проведение медицинских осмотров (предсменных, предрейсовых, послесменных, послерейсовых).</w:t>
      </w:r>
    </w:p>
    <w:p>
      <w:pPr>
        <w:pStyle w:val="Style3"/>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6"/>
        <w:widowControl w:val="0"/>
        <w:keepNext w:val="0"/>
        <w:keepLines w:val="0"/>
        <w:shd w:val="clear" w:color="auto" w:fill="auto"/>
        <w:bidi w:val="0"/>
        <w:jc w:val="left"/>
        <w:spacing w:before="0" w:after="303" w:line="260" w:lineRule="exact"/>
        <w:ind w:left="4620" w:right="0" w:firstLine="0"/>
      </w:pPr>
      <w:r>
        <w:rPr>
          <w:lang w:val="ru-RU" w:eastAsia="ru-RU" w:bidi="ru-RU"/>
          <w:w w:val="100"/>
          <w:spacing w:val="0"/>
          <w:color w:val="000000"/>
          <w:position w:val="0"/>
        </w:rPr>
        <w:t>Р Е Ш И Л А:</w:t>
      </w:r>
    </w:p>
    <w:p>
      <w:pPr>
        <w:pStyle w:val="Style3"/>
        <w:numPr>
          <w:ilvl w:val="0"/>
          <w:numId w:val="9"/>
        </w:numPr>
        <w:widowControl w:val="0"/>
        <w:keepNext w:val="0"/>
        <w:keepLines w:val="0"/>
        <w:shd w:val="clear" w:color="auto" w:fill="auto"/>
        <w:bidi w:val="0"/>
        <w:jc w:val="left"/>
        <w:spacing w:before="0" w:after="0"/>
        <w:ind w:left="20" w:right="20" w:firstLine="740"/>
      </w:pPr>
      <w:r>
        <w:rPr>
          <w:lang w:val="ru-RU" w:eastAsia="ru-RU" w:bidi="ru-RU"/>
          <w:w w:val="100"/>
          <w:spacing w:val="0"/>
          <w:color w:val="000000"/>
          <w:position w:val="0"/>
        </w:rPr>
        <w:t xml:space="preserve"> Признать жалобу ООО «РМА» на действия ГБУ «Жилищник района Академический» необоснованной.</w:t>
      </w:r>
    </w:p>
    <w:p>
      <w:pPr>
        <w:pStyle w:val="Style3"/>
        <w:numPr>
          <w:ilvl w:val="0"/>
          <w:numId w:val="9"/>
        </w:numPr>
        <w:widowControl w:val="0"/>
        <w:keepNext w:val="0"/>
        <w:keepLines w:val="0"/>
        <w:shd w:val="clear" w:color="auto" w:fill="auto"/>
        <w:bidi w:val="0"/>
        <w:jc w:val="left"/>
        <w:spacing w:before="0" w:after="300"/>
        <w:ind w:left="20" w:right="20" w:firstLine="74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09.11.2021 №ЕИ/67838/21.</w:t>
      </w:r>
    </w:p>
    <w:p>
      <w:pPr>
        <w:pStyle w:val="Style3"/>
        <w:widowControl w:val="0"/>
        <w:keepNext w:val="0"/>
        <w:keepLines w:val="0"/>
        <w:shd w:val="clear" w:color="auto" w:fill="auto"/>
        <w:bidi w:val="0"/>
        <w:jc w:val="left"/>
        <w:spacing w:before="0" w:after="0"/>
        <w:ind w:left="2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3"/>
        <w:widowControl w:val="0"/>
        <w:keepNext w:val="0"/>
        <w:keepLines w:val="0"/>
        <w:shd w:val="clear" w:color="auto" w:fill="auto"/>
        <w:bidi w:val="0"/>
        <w:jc w:val="left"/>
        <w:spacing w:before="0" w:after="352" w:line="260" w:lineRule="exact"/>
        <w:ind w:left="20" w:right="0" w:firstLine="0"/>
      </w:pPr>
      <w:r>
        <w:rPr>
          <w:lang w:val="ru-RU" w:eastAsia="ru-RU" w:bidi="ru-RU"/>
          <w:w w:val="100"/>
          <w:spacing w:val="0"/>
          <w:color w:val="000000"/>
          <w:position w:val="0"/>
        </w:rPr>
        <w:t>гл. 24 АПК РФ.</w:t>
      </w:r>
    </w:p>
    <w:p>
      <w:pPr>
        <w:pStyle w:val="Style3"/>
        <w:framePr w:h="250" w:vSpace="710" w:wrap="around" w:vAnchor="text" w:hAnchor="margin" w:x="8546" w:y="1"/>
        <w:widowControl w:val="0"/>
        <w:keepNext w:val="0"/>
        <w:keepLines w:val="0"/>
        <w:shd w:val="clear" w:color="auto" w:fill="auto"/>
        <w:bidi w:val="0"/>
        <w:jc w:val="left"/>
        <w:spacing w:before="0" w:after="0" w:line="240" w:lineRule="exact"/>
        <w:ind w:left="100" w:right="0" w:firstLine="0"/>
      </w:pPr>
      <w:r>
        <w:rPr>
          <w:rStyle w:val="CharStyle4"/>
          <w:spacing w:val="0"/>
        </w:rPr>
        <w:t>С.И. Казарин</w:t>
      </w:r>
    </w:p>
    <w:p>
      <w:pPr>
        <w:pStyle w:val="Style3"/>
        <w:framePr w:h="240" w:wrap="around" w:vAnchor="text" w:hAnchor="margin" w:x="8354" w:y="649"/>
        <w:widowControl w:val="0"/>
        <w:keepNext w:val="0"/>
        <w:keepLines w:val="0"/>
        <w:shd w:val="clear" w:color="auto" w:fill="auto"/>
        <w:bidi w:val="0"/>
        <w:jc w:val="left"/>
        <w:spacing w:before="0" w:after="0" w:line="240" w:lineRule="exact"/>
        <w:ind w:left="100" w:right="0" w:firstLine="0"/>
      </w:pPr>
      <w:r>
        <w:rPr>
          <w:rStyle w:val="CharStyle4"/>
          <w:spacing w:val="0"/>
        </w:rPr>
        <w:t>А.З. Касимова</w:t>
      </w:r>
    </w:p>
    <w:p>
      <w:pPr>
        <w:pStyle w:val="Style3"/>
        <w:widowControl w:val="0"/>
        <w:keepNext w:val="0"/>
        <w:keepLines w:val="0"/>
        <w:shd w:val="clear" w:color="auto" w:fill="auto"/>
        <w:bidi w:val="0"/>
        <w:jc w:val="left"/>
        <w:spacing w:before="0" w:after="347" w:line="260" w:lineRule="exact"/>
        <w:ind w:left="20" w:right="0" w:firstLine="0"/>
      </w:pPr>
      <w:r>
        <w:rPr>
          <w:lang w:val="ru-RU" w:eastAsia="ru-RU" w:bidi="ru-RU"/>
          <w:w w:val="100"/>
          <w:spacing w:val="0"/>
          <w:color w:val="000000"/>
          <w:position w:val="0"/>
        </w:rPr>
        <w:t>Заместитель председателя Комиссии</w:t>
      </w:r>
    </w:p>
    <w:p>
      <w:pPr>
        <w:pStyle w:val="Style3"/>
        <w:framePr w:h="250" w:wrap="notBeside" w:vAnchor="text" w:hAnchor="margin" w:x="8109" w:y="639"/>
        <w:widowControl w:val="0"/>
        <w:keepNext w:val="0"/>
        <w:keepLines w:val="0"/>
        <w:shd w:val="clear" w:color="auto" w:fill="auto"/>
        <w:bidi w:val="0"/>
        <w:jc w:val="left"/>
        <w:spacing w:before="0" w:after="0" w:line="240" w:lineRule="exact"/>
        <w:ind w:left="100" w:right="0" w:firstLine="0"/>
      </w:pPr>
      <w:r>
        <w:rPr>
          <w:rStyle w:val="CharStyle4"/>
          <w:spacing w:val="0"/>
        </w:rPr>
        <w:t>А.А. Кутейников</w:t>
      </w:r>
    </w:p>
    <w:p>
      <w:pPr>
        <w:pStyle w:val="Style3"/>
        <w:widowControl w:val="0"/>
        <w:keepNext w:val="0"/>
        <w:keepLines w:val="0"/>
        <w:shd w:val="clear" w:color="auto" w:fill="auto"/>
        <w:bidi w:val="0"/>
        <w:jc w:val="left"/>
        <w:spacing w:before="0" w:after="7323" w:line="260" w:lineRule="exact"/>
        <w:ind w:left="20" w:right="0" w:firstLine="0"/>
      </w:pPr>
      <w:r>
        <w:rPr>
          <w:lang w:val="ru-RU" w:eastAsia="ru-RU" w:bidi="ru-RU"/>
          <w:w w:val="100"/>
          <w:spacing w:val="0"/>
          <w:color w:val="000000"/>
          <w:position w:val="0"/>
        </w:rPr>
        <w:t>Члены Комиссии</w:t>
      </w:r>
    </w:p>
    <w:p>
      <w:pPr>
        <w:pStyle w:val="Style17"/>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Исп. Касимова А.З. Тел. 8 (495)784-75-05</w:t>
      </w:r>
    </w:p>
    <w:sectPr>
      <w:footnotePr>
        <w:pos w:val="pageBottom"/>
        <w:numFmt w:val="decimal"/>
        <w:numRestart w:val="continuous"/>
      </w:footnotePr>
      <w:type w:val="continuous"/>
      <w:pgSz w:w="11906" w:h="16838"/>
      <w:pgMar w:top="1123" w:left="844" w:right="828"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11.%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19.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5.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w:basedOn w:val="CharStyle5"/>
    <w:rPr>
      <w:lang w:val="ru-RU" w:eastAsia="ru-RU" w:bidi="ru-RU"/>
      <w:u w:val="single"/>
      <w:w w:val="100"/>
      <w:spacing w:val="0"/>
      <w:color w:val="000000"/>
      <w:position w:val="0"/>
    </w:rPr>
  </w:style>
  <w:style w:type="character" w:customStyle="1" w:styleId="CharStyle10">
    <w:name w:val="Штрих-код (2)_"/>
    <w:basedOn w:val="DefaultParagraphFont"/>
    <w:link w:val="Style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Курсив"/>
    <w:basedOn w:val="CharStyle5"/>
    <w:rPr>
      <w:lang w:val="ru-RU" w:eastAsia="ru-RU" w:bidi="ru-RU"/>
      <w:i/>
      <w:iCs/>
      <w:w w:val="100"/>
      <w:spacing w:val="0"/>
      <w:color w:val="000000"/>
      <w:position w:val="0"/>
    </w:rPr>
  </w:style>
  <w:style w:type="character" w:customStyle="1" w:styleId="CharStyle15">
    <w:name w:val="Основной текст (3)_"/>
    <w:basedOn w:val="DefaultParagraphFont"/>
    <w:link w:val="Style14"/>
    <w:rPr>
      <w:b w:val="0"/>
      <w:bCs w:val="0"/>
      <w:i/>
      <w:iCs/>
      <w:u w:val="none"/>
      <w:strike w:val="0"/>
      <w:smallCaps w:val="0"/>
      <w:sz w:val="26"/>
      <w:szCs w:val="26"/>
      <w:rFonts w:ascii="Times New Roman" w:eastAsia="Times New Roman" w:hAnsi="Times New Roman" w:cs="Times New Roman"/>
    </w:rPr>
  </w:style>
  <w:style w:type="character" w:customStyle="1" w:styleId="CharStyle16">
    <w:name w:val="Основной текст (3) + Не курсив"/>
    <w:basedOn w:val="CharStyle15"/>
    <w:rPr>
      <w:lang w:val="ru-RU" w:eastAsia="ru-RU" w:bidi="ru-RU"/>
      <w:i/>
      <w:iCs/>
      <w:w w:val="100"/>
      <w:spacing w:val="0"/>
      <w:color w:val="000000"/>
      <w:position w:val="0"/>
    </w:rPr>
  </w:style>
  <w:style w:type="character" w:customStyle="1" w:styleId="CharStyle18">
    <w:name w:val="Основной текст (4)_"/>
    <w:basedOn w:val="DefaultParagraphFont"/>
    <w:link w:val="Style17"/>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5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Штрих-код (2)"/>
    <w:basedOn w:val="Normal"/>
    <w:link w:val="CharStyle1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line="322" w:lineRule="exact"/>
      <w:ind w:firstLine="720"/>
    </w:pPr>
    <w:rPr>
      <w:b w:val="0"/>
      <w:bCs w:val="0"/>
      <w:i/>
      <w:iCs/>
      <w:u w:val="none"/>
      <w:strike w:val="0"/>
      <w:smallCaps w:val="0"/>
      <w:sz w:val="26"/>
      <w:szCs w:val="26"/>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738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