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96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10" w:left="2533" w:right="8010" w:bottom="1225" w:header="0" w:footer="3" w:gutter="0"/>
          <w:rtlGutter w:val="0"/>
          <w:cols w:space="720"/>
          <w:noEndnote/>
          <w:docGrid w:linePitch="360"/>
        </w:sectPr>
      </w:pPr>
      <w:r>
        <w:rPr>
          <w:rFonts w:ascii="Courier New" w:eastAsia="Courier New" w:hAnsi="Courier New" w:cs="Courier New"/>
          <w:w w:val="100"/>
          <w:spacing w:val="0"/>
          <w:color w:val="000000"/>
          <w:position w:val="0"/>
        </w:rPr>
        <w:t>J</w:t>
      </w:r>
    </w:p>
    <w:p>
      <w:pPr>
        <w:pStyle w:val="Style5"/>
        <w:framePr w:h="187" w:wrap="around" w:vAnchor="text" w:hAnchor="margin" w:x="9974" w:y="2713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rStyle w:val="CharStyle6"/>
          <w:b/>
          <w:bCs/>
          <w:i/>
          <w:iCs/>
          <w:spacing w:val="0"/>
        </w:rPr>
        <w:t>Щ</w:t>
      </w:r>
    </w:p>
    <w:p>
      <w:pPr>
        <w:pStyle w:val="Style7"/>
        <w:framePr w:h="260" w:vSpace="649" w:wrap="around" w:vAnchor="text" w:hAnchor="margin" w:x="1886" w:y="315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10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от</w:t>
      </w:r>
    </w:p>
    <w:p>
      <w:pPr>
        <w:pStyle w:val="Style5"/>
        <w:framePr w:h="150" w:vSpace="110" w:wrap="around" w:vAnchor="text" w:hAnchor="margin" w:x="9998" w:y="4762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rStyle w:val="CharStyle6"/>
          <w:b/>
          <w:bCs/>
          <w:i/>
          <w:iCs/>
          <w:spacing w:val="0"/>
        </w:rPr>
        <w:t>Ш</w:t>
      </w:r>
    </w:p>
    <w:p>
      <w:pPr>
        <w:widowControl w:val="0"/>
        <w:rPr>
          <w:sz w:val="2"/>
          <w:szCs w:val="2"/>
        </w:r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24"/>
        <w:ind w:left="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■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ФЕДЕРАЛЬНАЯ АНТИМОНОПОЛЬНАЯ </w:t>
      </w:r>
      <w:r>
        <w:rPr>
          <w:rStyle w:val="CharStyle11"/>
          <w:b w:val="0"/>
          <w:bCs w:val="0"/>
        </w:rPr>
        <w:t>СЛУЖБА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656"/>
        <w:ind w:left="0" w:right="0" w:firstLine="0"/>
      </w:pPr>
      <w:r>
        <w:rPr>
          <w:rStyle w:val="CharStyle14"/>
        </w:rPr>
        <w:t xml:space="preserve">УПРАВЛЕНИЕ Федеральной </w:t>
      </w:r>
      <w:r>
        <w:rPr>
          <w:rStyle w:val="CharStyle15"/>
        </w:rPr>
        <w:t xml:space="preserve">йнтимймополыюй </w:t>
      </w:r>
      <w:r>
        <w:rPr>
          <w:rStyle w:val="CharStyle14"/>
        </w:rPr>
        <w:t xml:space="preserve">службы, но Ханты-Мансийскому автономному округу - </w:t>
      </w:r>
      <w:r>
        <w:rPr>
          <w:rStyle w:val="CharStyle16"/>
        </w:rPr>
        <w:t xml:space="preserve">Югре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Мира, д. 27, Ханты-Мансийск, 628012 </w:t>
      </w:r>
      <w:r>
        <w:rPr>
          <w:rStyle w:val="CharStyle16"/>
        </w:rPr>
        <w:t xml:space="preserve">телефон/факс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+7 (3467) 38-80-81 </w:t>
      </w:r>
      <w:r>
        <w:rPr>
          <w:rStyle w:val="CharStyle16"/>
          <w:lang w:val="en-US" w:eastAsia="en-US" w:bidi="en-US"/>
        </w:rPr>
        <w:t xml:space="preserve">e-mail: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to86@fys.gov,ru,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сайт </w:t>
      </w:r>
      <w:r>
        <w:fldChar w:fldCharType="begin"/>
      </w:r>
      <w:r>
        <w:rPr>
          <w:color w:val="000000"/>
        </w:rPr>
        <w:instrText> HYPERLINK "http://hmao.fas.gov.ru"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http://hmao.fas.gov.ru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rStyle w:val="CharStyle17"/>
        </w:rPr>
        <w:t>ИНН 8601009316 КПП 860101001 ОГРН 1028600512093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518" w:line="16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Па Х&lt;&gt;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/>
        <w:ind w:left="60" w:right="1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по жалобе №10703 ЭП/21 ООО "Савир"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20"/>
        <w:tabs>
          <w:tab w:leader="none" w:pos="3092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АО "ЕЭТП"</w:t>
        <w:tab/>
        <w:t>”</w:t>
      </w:r>
    </w:p>
    <w:p>
      <w:pPr>
        <w:pStyle w:val="Style20"/>
        <w:tabs>
          <w:tab w:leader="none" w:pos="3279" w:val="center"/>
          <w:tab w:leader="none" w:pos="4071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115114, Россия, Москва, ул. Кожевническая. 14, стр. 5.</w:t>
        <w:tab/>
      </w:r>
      <w:r>
        <w:rPr>
          <w:rStyle w:val="CharStyle24"/>
        </w:rPr>
        <w:t>It</w:t>
        <w:tab/>
      </w:r>
      <w:r>
        <w:rPr>
          <w:rStyle w:val="CharStyle24"/>
          <w:lang w:val="ru-RU" w:eastAsia="ru-RU" w:bidi="ru-RU"/>
        </w:rPr>
        <w:t>^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19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тел.: (495) 5424020, 2761626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ko@roseltorg.m </w:t>
      </w:r>
      <w:r>
        <w:rPr>
          <w:rStyle w:val="CharStyle25"/>
        </w:rPr>
        <w:t>Заявитель: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«Савир»</w:t>
      </w:r>
    </w:p>
    <w:p>
      <w:pPr>
        <w:pStyle w:val="Style20"/>
        <w:tabs>
          <w:tab w:leader="none" w:pos="4308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3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454071, г. Челябинск, ул. Шуменская, 6,135 тел: +7(951)452-90-13</w:t>
        <w:tab/>
        <w:t>,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112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"mailto:savir-74@mail.ru"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savir-74@mail.ru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en-US" w:eastAsia="en-US" w:bidi="en-US"/>
          <w:vertAlign w:val="subscript"/>
          <w:sz w:val="24"/>
          <w:szCs w:val="24"/>
          <w:w w:val="100"/>
          <w:spacing w:val="0"/>
          <w:color w:val="000000"/>
          <w:position w:val="0"/>
        </w:rPr>
        <w:t>v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5"/>
        </w:rPr>
        <w:t>Заказчик:'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Бюджетное учреждение Ханты-Мансийского автономного округа - Югры «Нефтеюганская окружная клиническая больница имени В.И. Яцкив»</w:t>
      </w:r>
    </w:p>
    <w:p>
      <w:pPr>
        <w:pStyle w:val="Style20"/>
        <w:tabs>
          <w:tab w:leader="none" w:pos="4308" w:val="right"/>
          <w:tab w:leader="none" w:pos="4858" w:val="righ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628307, г Нефтеюганск, 7 мкр: дом 13</w:t>
        <w:tab/>
        <w:t>+</w:t>
        <w:tab/>
        <w:t>у</w:t>
      </w:r>
    </w:p>
    <w:p>
      <w:pPr>
        <w:pStyle w:val="Style20"/>
        <w:tabs>
          <w:tab w:leader="none" w:pos="4308" w:val="righ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Тел.: 8 (3463) 23-63-57, факс 24-81-91</w:t>
        <w:tab/>
      </w:r>
      <w:r>
        <w:rPr>
          <w:rStyle w:val="CharStyle24"/>
          <w:lang w:val="ru-RU" w:eastAsia="ru-RU" w:bidi="ru-RU"/>
        </w:rPr>
        <w:t>£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e-mail: okb_nit@iUail,ru, konfhkt@n-g§.fl</w:t>
      </w:r>
      <w:r>
        <w:rPr>
          <w:lang w:val="en-US" w:eastAsia="en-US" w:bidi="en-US"/>
          <w:vertAlign w:val="superscript"/>
          <w:sz w:val="24"/>
          <w:szCs w:val="24"/>
          <w:w w:val="100"/>
          <w:spacing w:val="0"/>
          <w:color w:val="000000"/>
          <w:position w:val="0"/>
        </w:rPr>
        <w:t>fc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5"/>
        </w:rPr>
        <w:t>Уполномоченный орган: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Казенное учреждение Ханты-мансийского автономного округа - Югры «Центр лекарственного мониторинга»</w:t>
      </w:r>
    </w:p>
    <w:p>
      <w:pPr>
        <w:pStyle w:val="Style20"/>
        <w:tabs>
          <w:tab w:leader="none" w:pos="3092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7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628400, г. Сургут, пр-кт Набережный, 41 Тел.: 8-3462-58-98-21</w:t>
        <w:tab/>
        <w:t>*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26"/>
        </w:rPr>
        <w:instrText> HYPERLINK "mailto:zakvpki@clmSo.ru" </w:instrText>
      </w:r>
      <w:r>
        <w:fldChar w:fldCharType="separate"/>
      </w:r>
      <w:r>
        <w:rPr>
          <w:rStyle w:val="Hyperlink"/>
          <w:lang w:val="en-US" w:eastAsia="en-US" w:bidi="en-US"/>
        </w:rPr>
        <w:t>zakvpki@clmSo.ru</w:t>
      </w:r>
      <w:r>
        <w:fldChar w:fldCharType="end"/>
      </w:r>
    </w:p>
    <w:p>
      <w:pPr>
        <w:pStyle w:val="Style27"/>
        <w:widowControl w:val="0"/>
        <w:keepNext/>
        <w:keepLines/>
        <w:shd w:val="clear" w:color="auto" w:fill="auto"/>
        <w:bidi w:val="0"/>
        <w:spacing w:before="0" w:after="0" w:line="240" w:lineRule="exact"/>
        <w:ind w:left="0" w:right="360" w:firstLine="0"/>
        <w:sectPr>
          <w:type w:val="continuous"/>
          <w:pgSz w:w="11906" w:h="16838"/>
          <w:pgMar w:top="495" w:left="709" w:right="1074" w:bottom="1210" w:header="0" w:footer="3" w:gutter="0"/>
          <w:rtlGutter w:val="0"/>
          <w:cols w:num="2" w:space="720" w:equalWidth="0">
            <w:col w:w="3984" w:space="1248"/>
            <w:col w:w="4891"/>
          </w:cols>
          <w:noEndnote/>
          <w:docGrid w:linePitch="360"/>
        </w:sectPr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ч1|</w:t>
      </w:r>
      <w:bookmarkEnd w:id="0"/>
    </w:p>
    <w:p>
      <w:pPr>
        <w:widowControl w:val="0"/>
        <w:spacing w:before="43" w:after="4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center"/>
        <w:spacing w:before="0" w:after="240"/>
        <w:ind w:left="4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об устранении нарушений законодательства</w:t>
      </w:r>
    </w:p>
    <w:p>
      <w:pPr>
        <w:pStyle w:val="Style20"/>
        <w:framePr w:h="238" w:wrap="around" w:vAnchor="text" w:hAnchor="margin" w:x="7948" w:y="1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9"/>
          <w:lang w:val="en-US" w:eastAsia="en-US" w:bidi="en-US"/>
          <w:spacing w:val="0"/>
        </w:rPr>
        <w:t xml:space="preserve">U </w:t>
      </w:r>
      <w:r>
        <w:rPr>
          <w:rStyle w:val="CharStyle29"/>
          <w:spacing w:val="0"/>
        </w:rPr>
        <w:t>'Ханты-Мансийск,.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37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Резолютивная часть объявлена 10.11.2021 Изготовлено в полном объеме 15.11.2021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420" w:firstLine="720"/>
        <w:sectPr>
          <w:type w:val="continuous"/>
          <w:pgSz w:w="11906" w:h="16838"/>
          <w:pgMar w:top="510" w:left="685" w:right="618" w:bottom="122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Ханты Мансийское автономному округу - Югре (далее - Комиссия Управления)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Style7"/>
        <w:framePr w:w="334" w:h="260" w:wrap="none" w:vAnchor="text" w:hAnchor="margin" w:x="8323" w:y="196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10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Ф</w:t>
      </w:r>
    </w:p>
    <w:p>
      <w:pPr>
        <w:pStyle w:val="Style5"/>
        <w:framePr w:w="541" w:h="516" w:wrap="none" w:vAnchor="text" w:hAnchor="margin" w:x="9979" w:y="692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60" w:right="0" w:firstLine="0"/>
      </w:pPr>
      <w:r>
        <w:rPr>
          <w:rStyle w:val="CharStyle6"/>
          <w:b/>
          <w:bCs/>
          <w:i/>
          <w:iCs/>
          <w:spacing w:val="0"/>
        </w:rPr>
        <w:t>щ.</w:t>
      </w:r>
    </w:p>
    <w:p>
      <w:pPr>
        <w:pStyle w:val="Style20"/>
        <w:framePr w:w="541" w:h="516" w:wrap="none" w:vAnchor="text" w:hAnchor="margin" w:x="9979" w:y="692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60" w:right="0" w:firstLine="0"/>
      </w:pPr>
      <w:r>
        <w:rPr>
          <w:rStyle w:val="CharStyle29"/>
          <w:lang w:val="en-US" w:eastAsia="en-US" w:bidi="en-US"/>
          <w:spacing w:val="0"/>
        </w:rPr>
        <w:t>JP</w:t>
      </w:r>
    </w:p>
    <w:p>
      <w:pPr>
        <w:pStyle w:val="Style20"/>
        <w:framePr w:w="397" w:h="300" w:wrap="none" w:vAnchor="text" w:hAnchor="margin" w:x="10334" w:y="87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9"/>
          <w:lang w:val="en-US" w:eastAsia="en-US" w:bidi="en-US"/>
          <w:spacing w:val="0"/>
        </w:rPr>
        <w:t>i</w:t>
      </w:r>
    </w:p>
    <w:p>
      <w:pPr>
        <w:pStyle w:val="Style20"/>
        <w:framePr w:w="7525" w:h="1322" w:wrap="none" w:vAnchor="text" w:hAnchor="margin" w:x="686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120" w:right="0" w:firstLine="0"/>
      </w:pPr>
      <w:r>
        <w:rPr>
          <w:rStyle w:val="CharStyle29"/>
          <w:spacing w:val="0"/>
        </w:rPr>
        <w:t>Председатель комиссии:</w:t>
      </w:r>
    </w:p>
    <w:p>
      <w:pPr>
        <w:pStyle w:val="Style20"/>
        <w:numPr>
          <w:ilvl w:val="0"/>
          <w:numId w:val="1"/>
        </w:numPr>
        <w:framePr w:w="7525" w:h="1322" w:wrap="none" w:vAnchor="text" w:hAnchor="margin" w:x="686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120" w:right="0" w:firstLine="0"/>
      </w:pPr>
      <w:r>
        <w:rPr>
          <w:rStyle w:val="CharStyle29"/>
          <w:spacing w:val="0"/>
        </w:rPr>
        <w:t xml:space="preserve"> Иванов В.П. - Заместитель руководителя Управления;</w:t>
      </w:r>
    </w:p>
    <w:p>
      <w:pPr>
        <w:pStyle w:val="Style20"/>
        <w:framePr w:w="7525" w:h="1322" w:wrap="none" w:vAnchor="text" w:hAnchor="margin" w:x="686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120" w:right="0" w:firstLine="0"/>
      </w:pPr>
      <w:r>
        <w:rPr>
          <w:rStyle w:val="CharStyle29"/>
          <w:spacing w:val="0"/>
        </w:rPr>
        <w:t>Членов комиссии:</w:t>
      </w:r>
    </w:p>
    <w:p>
      <w:pPr>
        <w:pStyle w:val="Style20"/>
        <w:numPr>
          <w:ilvl w:val="0"/>
          <w:numId w:val="1"/>
        </w:numPr>
        <w:framePr w:w="7525" w:h="1322" w:wrap="none" w:vAnchor="text" w:hAnchor="margin" w:x="686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120" w:right="0" w:firstLine="0"/>
      </w:pPr>
      <w:r>
        <w:rPr>
          <w:rStyle w:val="CharStyle29"/>
          <w:spacing w:val="0"/>
        </w:rPr>
        <w:t xml:space="preserve"> Моршель А.М. - Старший специалист 1 разряда т отдела Управления;</w:t>
      </w:r>
    </w:p>
    <w:p>
      <w:pPr>
        <w:pStyle w:val="Style20"/>
        <w:numPr>
          <w:ilvl w:val="0"/>
          <w:numId w:val="1"/>
        </w:numPr>
        <w:framePr w:w="7525" w:h="1322" w:wrap="none" w:vAnchor="text" w:hAnchor="margin" w:x="686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120" w:right="0" w:firstLine="0"/>
      </w:pPr>
      <w:r>
        <w:rPr>
          <w:rStyle w:val="CharStyle29"/>
          <w:spacing w:val="0"/>
        </w:rPr>
        <w:t xml:space="preserve"> Михайлова О.Н. - Старший специалист 1 разряда отдела Управления,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92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284" w:left="618" w:right="618" w:bottom="284" w:header="0" w:footer="3" w:gutter="0"/>
          <w:rtlGutter w:val="0"/>
          <w:cols w:space="720"/>
          <w:noEndnote/>
          <w:docGrid w:linePitch="360"/>
        </w:sectPr>
      </w:pP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87" w:line="274" w:lineRule="exact"/>
        <w:ind w:left="20" w:right="28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своего решения от 10.11.2021 № 086/06/69-1677/2021 о рассмотрении жалобы ООО «Савир» (ИНН: 7452151128; ОГРН: 1197456025975) от 27.10.2021 №10703-ЭП/21, на действия Заказчика — Бюджетное учреждение Ханты-Мансийского автономного округа - Югры «Нефтеюганская окружная клиническая больница имени В.И. Яцкив», Уполномоченного органа -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280" w:firstLine="0"/>
        <w:sectPr>
          <w:type w:val="continuous"/>
          <w:pgSz w:w="11906" w:h="16838"/>
          <w:pgMar w:top="510" w:left="695" w:right="719" w:bottom="122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$</w:t>
      </w:r>
    </w:p>
    <w:p>
      <w:pPr>
        <w:pStyle w:val="Style20"/>
        <w:tabs>
          <w:tab w:leader="none" w:pos="10367" w:val="righ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20" w:right="3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Казенное учреждение Ханты-мансийского автономного округа - Югры «Центр лекарственного мониторинга», при проведении электронного аукциона в электронной форме, предметом которого является поставка дезинфицирующих средств (извещение №</w:t>
        <w:tab/>
        <w:t>0387200009121005097),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275" w:line="274" w:lineRule="exact"/>
        <w:ind w:left="220" w:right="2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руководствуясь положениями статьи 99, статьи 106 Федерального закона от 05.04.2013 г. №44-ФЗ “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Комиссия Управления</w:t>
      </w:r>
    </w:p>
    <w:p>
      <w:pPr>
        <w:pStyle w:val="Style30"/>
        <w:widowControl w:val="0"/>
        <w:keepNext/>
        <w:keepLines/>
        <w:shd w:val="clear" w:color="auto" w:fill="auto"/>
        <w:bidi w:val="0"/>
        <w:spacing w:before="0" w:after="217" w:line="230" w:lineRule="exact"/>
        <w:ind w:left="12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1"/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340" w:firstLine="9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целях устранения нарушений законодательства о контрактной системе Заказчику - Бюджетное учреждение Ханты-Мансийского автономного округа - Югры «Нефтеюганская ^Окружная'кдгхшрюскаяЖольщгца имени В.И. Яцкив» совершить следующие действия:</w:t>
      </w:r>
    </w:p>
    <w:p>
      <w:pPr>
        <w:pStyle w:val="Style20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20" w:right="34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Отменить протокол рассмотрения единственной заявки на участие в электронном аукционе от 26.10.2021 №0387200009121005097-4, составленный в ходе проведения электронного аукциона предметом, которого является поставка дезинфицирующих средств (извещение № 0387200009121005097) согласно принятому Решению 10.11.2021 № 086/06/69-1677/2021 и рассмотреть заявку повторно.</w:t>
      </w:r>
    </w:p>
    <w:p>
      <w:pPr>
        <w:pStyle w:val="Style20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9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Исполнить предписание в срок до 29.11.2021 г.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240" w:firstLine="9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3 В срок до 30.11.2021 представить в Управление Федеральной антимонопольной службы; " %о Ханты-Мансийскому автономному округу - Югре информацию об исполнении предписания с приложением подтверждающих документов </w:t>
      </w:r>
      <w:r>
        <w:rPr>
          <w:rStyle w:val="CharStyle26"/>
        </w:rPr>
        <w:t xml:space="preserve">(документы </w:t>
      </w:r>
      <w:r>
        <w:rPr>
          <w:rStyle w:val="CharStyle32"/>
        </w:rPr>
        <w:t>могут</w:t>
      </w:r>
      <w:r>
        <w:rPr>
          <w:rStyle w:val="CharStyle33"/>
        </w:rPr>
        <w:t xml:space="preserve"> </w:t>
      </w:r>
      <w:r>
        <w:rPr>
          <w:rStyle w:val="CharStyle26"/>
        </w:rPr>
        <w:t>быть в электронном виде!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807" w:line="274" w:lineRule="exact"/>
        <w:ind w:left="220" w:right="34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4, Официальному сайту </w:t>
      </w:r>
      <w:r>
        <w:fldChar w:fldCharType="begin"/>
      </w:r>
      <w:r>
        <w:rPr>
          <w:color w:val="000000"/>
        </w:rPr>
        <w:instrText> HYPERLINK "http://www.zaknpki.gov.m"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www.zaknpki.gov.m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 оператору электронной площадки обеспечить исполнение Заказчиком пункта 1 настоящего предписания, оператору электронной площадки вернуть участникам закупки поступившие денежные средства в качестве обеспечения заявок на участие в конкурсе в электронной форме.</w:t>
      </w:r>
    </w:p>
    <w:p>
      <w:pPr>
        <w:pStyle w:val="Style20"/>
        <w:tabs>
          <w:tab w:leader="none" w:pos="8428" w:val="left"/>
        </w:tabs>
        <w:widowControl w:val="0"/>
        <w:keepNext w:val="0"/>
        <w:keepLines w:val="0"/>
        <w:shd w:val="clear" w:color="auto" w:fill="auto"/>
        <w:bidi w:val="0"/>
        <w:spacing w:before="0" w:after="538" w:line="240" w:lineRule="exact"/>
        <w:ind w:left="2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  <w:tab/>
        <w:t>Иванов В.П.</w:t>
      </w:r>
    </w:p>
    <w:p>
      <w:pPr>
        <w:pStyle w:val="Style20"/>
        <w:tabs>
          <w:tab w:leader="none" w:pos="8428" w:val="lef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220" w:right="0" w:firstLine="0"/>
        <w:sectPr>
          <w:pgSz w:w="11906" w:h="16838"/>
          <w:pgMar w:top="1205" w:left="596" w:right="582" w:bottom="82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Комиссии:</w:t>
        <w:tab/>
        <w:t>Моршель А.М.</w:t>
      </w:r>
    </w:p>
    <w:p>
      <w:pPr>
        <w:pStyle w:val="Style20"/>
        <w:framePr w:w="10035" w:h="260" w:wrap="none" w:vAnchor="text" w:hAnchor="margin" w:x="196" w:y="115"/>
        <w:tabs>
          <w:tab w:leader="none" w:pos="7924" w:val="right"/>
          <w:tab w:leader="none" w:pos="9455" w:val="right"/>
          <w:tab w:leader="none" w:pos="9930" w:val="right"/>
        </w:tabs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100" w:right="0" w:firstLine="0"/>
      </w:pPr>
      <w:r>
        <w:rPr>
          <w:rStyle w:val="CharStyle34"/>
          <w:spacing w:val="-10"/>
        </w:rPr>
        <w:t>щ</w:t>
        <w:tab/>
        <w:t>илшч</w:t>
      </w:r>
      <w:r>
        <w:rPr>
          <w:rStyle w:val="CharStyle29"/>
          <w:spacing w:val="0"/>
        </w:rPr>
        <w:tab/>
        <w:t>Михайлова</w:t>
        <w:tab/>
        <w:t>О.Н</w:t>
      </w:r>
    </w:p>
    <w:p>
      <w:pPr>
        <w:widowControl w:val="0"/>
        <w:spacing w:line="568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582" w:right="582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92" w:line="206" w:lineRule="exact"/>
        <w:ind w:left="220" w:right="30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 невыполнение в установленный срокзаконного предписания антимонопольного органа статьей 19,5 Кодекса Российской Федерации об административных правонарушениях установлена административная ответственность,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182" w:line="192" w:lineRule="exact"/>
        <w:ind w:left="220" w:right="30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Примечание: настоящее предписание может быть обжаловано в судебном порядке в течение трех, месяцев со дня его принятия.</w:t>
      </w:r>
    </w:p>
    <w:sectPr>
      <w:type w:val="continuous"/>
      <w:pgSz w:w="11906" w:h="16838"/>
      <w:pgMar w:top="1205" w:left="611" w:right="606" w:bottom="82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-3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96"/>
      <w:szCs w:val="96"/>
    </w:rPr>
  </w:style>
  <w:style w:type="character" w:customStyle="1" w:styleId="CharStyle6">
    <w:name w:val="Основной текст (7) Exact"/>
    <w:basedOn w:val="DefaultParagraphFont"/>
    <w:rPr>
      <w:b/>
      <w:bCs/>
      <w:i/>
      <w:iCs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-1"/>
    </w:rPr>
  </w:style>
  <w:style w:type="character" w:customStyle="1" w:styleId="CharStyle8">
    <w:name w:val="Основной текст (8) Exact"/>
    <w:basedOn w:val="DefaultParagraphFont"/>
    <w:link w:val="Style7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-8"/>
    </w:rPr>
  </w:style>
  <w:style w:type="character" w:customStyle="1" w:styleId="CharStyle10">
    <w:name w:val="Основной текст (3)_"/>
    <w:basedOn w:val="DefaultParagraphFont"/>
    <w:link w:val="Style9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1">
    <w:name w:val="Основной текст (3) + 9 pt,Не полужирный"/>
    <w:basedOn w:val="CharStyle10"/>
    <w:rPr>
      <w:lang w:val="ru-RU" w:eastAsia="ru-RU" w:bidi="ru-RU"/>
      <w:b/>
      <w:bCs/>
      <w:sz w:val="18"/>
      <w:szCs w:val="18"/>
      <w:w w:val="100"/>
      <w:spacing w:val="0"/>
      <w:color w:val="000000"/>
      <w:position w:val="0"/>
    </w:rPr>
  </w:style>
  <w:style w:type="character" w:customStyle="1" w:styleId="CharStyle13">
    <w:name w:val="Основной текст (4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4">
    <w:name w:val="Основной текст (4) + 9 pt"/>
    <w:basedOn w:val="CharStyle13"/>
    <w:rPr>
      <w:lang w:val="ru-RU" w:eastAsia="ru-RU" w:bidi="ru-RU"/>
      <w:sz w:val="18"/>
      <w:szCs w:val="18"/>
      <w:w w:val="100"/>
      <w:spacing w:val="0"/>
      <w:color w:val="000000"/>
      <w:position w:val="0"/>
    </w:rPr>
  </w:style>
  <w:style w:type="character" w:customStyle="1" w:styleId="CharStyle15">
    <w:name w:val="Основной текст (4) + 6 pt"/>
    <w:basedOn w:val="CharStyle13"/>
    <w:rPr>
      <w:lang w:val="ru-RU" w:eastAsia="ru-RU" w:bidi="ru-RU"/>
      <w:sz w:val="12"/>
      <w:szCs w:val="12"/>
      <w:w w:val="100"/>
      <w:spacing w:val="0"/>
      <w:color w:val="000000"/>
      <w:position w:val="0"/>
    </w:rPr>
  </w:style>
  <w:style w:type="character" w:customStyle="1" w:styleId="CharStyle16">
    <w:name w:val="Основной текст (4) + 8,5 pt,Полужирный"/>
    <w:basedOn w:val="CharStyle13"/>
    <w:rPr>
      <w:lang w:val="ru-RU" w:eastAsia="ru-RU" w:bidi="ru-RU"/>
      <w:b/>
      <w:bCs/>
      <w:sz w:val="17"/>
      <w:szCs w:val="17"/>
      <w:w w:val="100"/>
      <w:spacing w:val="0"/>
      <w:color w:val="000000"/>
      <w:position w:val="0"/>
    </w:rPr>
  </w:style>
  <w:style w:type="character" w:customStyle="1" w:styleId="CharStyle17">
    <w:name w:val="Основной текст (4) + 7 pt"/>
    <w:basedOn w:val="CharStyle13"/>
    <w:rPr>
      <w:lang w:val="ru-RU" w:eastAsia="ru-RU" w:bidi="ru-RU"/>
      <w:sz w:val="14"/>
      <w:szCs w:val="14"/>
      <w:w w:val="100"/>
      <w:spacing w:val="0"/>
      <w:color w:val="000000"/>
      <w:position w:val="0"/>
    </w:rPr>
  </w:style>
  <w:style w:type="character" w:customStyle="1" w:styleId="CharStyle19">
    <w:name w:val="Основной текст (5)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21">
    <w:name w:val="Основной текст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3">
    <w:name w:val="Основной текст (6)_"/>
    <w:basedOn w:val="DefaultParagraphFont"/>
    <w:link w:val="Style22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4">
    <w:name w:val="Основной текст + 15 pt,Курсив,Интервал 0 pt"/>
    <w:basedOn w:val="CharStyle21"/>
    <w:rPr>
      <w:lang w:val="en-US" w:eastAsia="en-US" w:bidi="en-US"/>
      <w:i/>
      <w:iCs/>
      <w:sz w:val="30"/>
      <w:szCs w:val="30"/>
      <w:w w:val="100"/>
      <w:spacing w:val="-10"/>
      <w:color w:val="000000"/>
      <w:position w:val="0"/>
    </w:rPr>
  </w:style>
  <w:style w:type="character" w:customStyle="1" w:styleId="CharStyle25">
    <w:name w:val="Основной текст + 11,5 pt,Полужирный"/>
    <w:basedOn w:val="CharStyle21"/>
    <w:rPr>
      <w:lang w:val="ru-RU" w:eastAsia="ru-RU" w:bidi="ru-RU"/>
      <w:b/>
      <w:bCs/>
      <w:sz w:val="23"/>
      <w:szCs w:val="23"/>
      <w:w w:val="100"/>
      <w:spacing w:val="0"/>
      <w:color w:val="000000"/>
      <w:position w:val="0"/>
    </w:rPr>
  </w:style>
  <w:style w:type="character" w:customStyle="1" w:styleId="CharStyle26">
    <w:name w:val="Основной текст"/>
    <w:basedOn w:val="CharStyle21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8">
    <w:name w:val="Заголовок №1_"/>
    <w:basedOn w:val="DefaultParagraphFont"/>
    <w:link w:val="Style27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9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-3"/>
    </w:rPr>
  </w:style>
  <w:style w:type="character" w:customStyle="1" w:styleId="CharStyle31">
    <w:name w:val="Заголовок №2_"/>
    <w:basedOn w:val="DefaultParagraphFont"/>
    <w:link w:val="Style30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32">
    <w:name w:val="Основной текст + 8 pt,Полужирный"/>
    <w:basedOn w:val="CharStyle21"/>
    <w:rPr>
      <w:lang w:val="ru-RU" w:eastAsia="ru-RU" w:bidi="ru-RU"/>
      <w:b/>
      <w:bCs/>
      <w:u w:val="single"/>
      <w:sz w:val="16"/>
      <w:szCs w:val="16"/>
      <w:w w:val="100"/>
      <w:spacing w:val="0"/>
      <w:color w:val="000000"/>
      <w:position w:val="0"/>
    </w:rPr>
  </w:style>
  <w:style w:type="character" w:customStyle="1" w:styleId="CharStyle33">
    <w:name w:val="Основной текст + 8 pt"/>
    <w:basedOn w:val="CharStyle21"/>
    <w:rPr>
      <w:lang w:val="ru-RU" w:eastAsia="ru-RU" w:bidi="ru-RU"/>
      <w:u w:val="single"/>
      <w:sz w:val="16"/>
      <w:szCs w:val="16"/>
      <w:w w:val="100"/>
      <w:spacing w:val="0"/>
      <w:color w:val="000000"/>
      <w:position w:val="0"/>
    </w:rPr>
  </w:style>
  <w:style w:type="character" w:customStyle="1" w:styleId="CharStyle34">
    <w:name w:val="Основной текст + 13 pt,Курсив,Интервал 0 pt Exact"/>
    <w:basedOn w:val="CharStyle21"/>
    <w:rPr>
      <w:lang w:val="ru-RU" w:eastAsia="ru-RU" w:bidi="ru-RU"/>
      <w:i/>
      <w:iCs/>
      <w:sz w:val="26"/>
      <w:szCs w:val="26"/>
      <w:w w:val="100"/>
      <w:spacing w:val="-8"/>
      <w:color w:val="000000"/>
      <w:position w:val="0"/>
    </w:rPr>
  </w:style>
  <w:style w:type="character" w:customStyle="1" w:styleId="CharStyle35">
    <w:name w:val="Основной текст (7)_"/>
    <w:basedOn w:val="DefaultParagraphFont"/>
    <w:link w:val="Style5"/>
    <w:rPr>
      <w:b/>
      <w:bCs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96"/>
      <w:szCs w:val="96"/>
    </w:rPr>
  </w:style>
  <w:style w:type="paragraph" w:customStyle="1" w:styleId="Style5">
    <w:name w:val="Основной текст (7)"/>
    <w:basedOn w:val="Normal"/>
    <w:link w:val="CharStyle35"/>
    <w:pPr>
      <w:widowControl w:val="0"/>
      <w:shd w:val="clear" w:color="auto" w:fill="FFFFFF"/>
      <w:spacing w:line="0" w:lineRule="exact"/>
    </w:pPr>
    <w:rPr>
      <w:b/>
      <w:bCs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7">
    <w:name w:val="Основной текст (8)"/>
    <w:basedOn w:val="Normal"/>
    <w:link w:val="CharStyle8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-8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after="120" w:line="235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jc w:val="center"/>
      <w:spacing w:before="120" w:after="600" w:line="23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8">
    <w:name w:val="Основной текст (5)"/>
    <w:basedOn w:val="Normal"/>
    <w:link w:val="CharStyle19"/>
    <w:pPr>
      <w:widowControl w:val="0"/>
      <w:shd w:val="clear" w:color="auto" w:fill="FFFFFF"/>
      <w:jc w:val="both"/>
      <w:spacing w:before="600" w:after="600" w:line="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20">
    <w:name w:val="Основной текст"/>
    <w:basedOn w:val="Normal"/>
    <w:link w:val="CharStyle21"/>
    <w:pPr>
      <w:widowControl w:val="0"/>
      <w:shd w:val="clear" w:color="auto" w:fill="FFFFFF"/>
      <w:jc w:val="both"/>
      <w:spacing w:before="600" w:line="278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2">
    <w:name w:val="Основной текст (6)"/>
    <w:basedOn w:val="Normal"/>
    <w:link w:val="CharStyle23"/>
    <w:pPr>
      <w:widowControl w:val="0"/>
      <w:shd w:val="clear" w:color="auto" w:fill="FFFFFF"/>
      <w:jc w:val="both"/>
      <w:spacing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7">
    <w:name w:val="Заголовок №1"/>
    <w:basedOn w:val="Normal"/>
    <w:link w:val="CharStyle28"/>
    <w:pPr>
      <w:widowControl w:val="0"/>
      <w:shd w:val="clear" w:color="auto" w:fill="FFFFFF"/>
      <w:jc w:val="right"/>
      <w:outlineLvl w:val="0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0">
    <w:name w:val="Заголовок №2"/>
    <w:basedOn w:val="Normal"/>
    <w:link w:val="CharStyle31"/>
    <w:pPr>
      <w:widowControl w:val="0"/>
      <w:shd w:val="clear" w:color="auto" w:fill="FFFFFF"/>
      <w:jc w:val="center"/>
      <w:outlineLvl w:val="1"/>
      <w:spacing w:before="240" w:after="30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