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43"/>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241" w:line="277" w:lineRule="exact"/>
        <w:ind w:left="0" w:right="0" w:firstLine="0"/>
      </w:pPr>
      <w:r>
        <w:rPr>
          <w:rStyle w:val="CharStyle5"/>
          <w:b/>
          <w:bCs/>
        </w:rPr>
        <w:t>УПРАВЛЕНИЕ Федеральной антимонопольной службы по Республике Татарстан</w:t>
      </w:r>
    </w:p>
    <w:p>
      <w:pPr>
        <w:pStyle w:val="Style6"/>
        <w:widowControl w:val="0"/>
        <w:keepNext w:val="0"/>
        <w:keepLines w:val="0"/>
        <w:shd w:val="clear" w:color="auto" w:fill="auto"/>
        <w:bidi w:val="0"/>
        <w:spacing w:before="0" w:after="325"/>
        <w:ind w:left="0" w:right="0" w:firstLine="0"/>
      </w:pPr>
      <w:r>
        <w:rPr>
          <w:rStyle w:val="CharStyle8"/>
        </w:rPr>
        <w:t xml:space="preserve">ул. Московская, д. 55. г. Казань. 420021 тел.: (843) 236-89-22. факс (843) 238-19-46 </w:t>
      </w:r>
      <w:r>
        <w:rPr>
          <w:rStyle w:val="CharStyle8"/>
          <w:lang w:val="en-US" w:eastAsia="en-US" w:bidi="en-US"/>
        </w:rPr>
        <w:t xml:space="preserve">e-mail: </w:t>
      </w:r>
      <w:r>
        <w:fldChar w:fldCharType="begin"/>
      </w:r>
      <w:r>
        <w:rPr>
          <w:rStyle w:val="CharStyle8"/>
        </w:rPr>
        <w:instrText> HYPERLINK "mailto:lol6@las.gov.ru" </w:instrText>
      </w:r>
      <w:r>
        <w:fldChar w:fldCharType="separate"/>
      </w:r>
      <w:r>
        <w:rPr>
          <w:rStyle w:val="Hyperlink"/>
          <w:lang w:val="en-US" w:eastAsia="en-US" w:bidi="en-US"/>
        </w:rPr>
        <w:t>lol6@las.gov.ru</w:t>
      </w:r>
      <w:r>
        <w:fldChar w:fldCharType="end"/>
      </w:r>
    </w:p>
    <w:p>
      <w:pPr>
        <w:pStyle w:val="Style9"/>
        <w:tabs>
          <w:tab w:leader="none" w:pos="2437" w:val="left"/>
          <w:tab w:leader="none" w:pos="2437" w:val="left"/>
        </w:tabs>
        <w:widowControl w:val="0"/>
        <w:keepNext/>
        <w:keepLines/>
        <w:shd w:val="clear" w:color="auto" w:fill="auto"/>
        <w:bidi w:val="0"/>
        <w:spacing w:before="0" w:after="290" w:line="320" w:lineRule="exact"/>
        <w:ind w:left="140" w:right="0" w:firstLine="0"/>
      </w:pPr>
      <w:bookmarkStart w:id="0" w:name="bookmark0"/>
      <w:r>
        <w:rPr>
          <w:rStyle w:val="CharStyle11"/>
          <w:i w:val="0"/>
          <w:iCs w:val="0"/>
        </w:rPr>
        <w:t>/£ //.</w:t>
        <w:tab/>
        <w:t xml:space="preserve"> </w:t>
      </w:r>
      <w:r>
        <w:rPr>
          <w:rStyle w:val="CharStyle12"/>
          <w:i w:val="0"/>
          <w:iCs w:val="0"/>
        </w:rPr>
        <w:t>л?</w:t>
        <w:tab/>
      </w:r>
      <w:r>
        <w:rPr>
          <w:rStyle w:val="CharStyle13"/>
          <w:i/>
          <w:iCs/>
        </w:rPr>
        <w:t>{fy-cyji</w:t>
      </w:r>
      <w:r>
        <w:rPr>
          <w:rStyle w:val="CharStyle13"/>
          <w:lang w:val="ru-RU" w:eastAsia="ru-RU" w:bidi="ru-RU"/>
          <w:i/>
          <w:iCs/>
        </w:rPr>
        <w:t>ЧЙА</w:t>
      </w:r>
      <w:bookmarkEnd w:id="0"/>
    </w:p>
    <w:p>
      <w:pPr>
        <w:pStyle w:val="Style14"/>
        <w:tabs>
          <w:tab w:leader="none" w:pos="2255" w:val="right"/>
          <w:tab w:leader="underscore" w:pos="4086" w:val="left"/>
        </w:tabs>
        <w:widowControl w:val="0"/>
        <w:keepNext w:val="0"/>
        <w:keepLines w:val="0"/>
        <w:shd w:val="clear" w:color="auto" w:fill="auto"/>
        <w:bidi w:val="0"/>
        <w:spacing w:before="0" w:after="0" w:line="210" w:lineRule="exact"/>
        <w:ind w:left="140" w:right="0" w:firstLine="0"/>
      </w:pPr>
      <w:r>
        <w:rPr>
          <w:rStyle w:val="CharStyle16"/>
        </w:rPr>
        <w:t>На №</w:t>
        <w:tab/>
        <w:t>от</w:t>
        <w:tab/>
      </w:r>
    </w:p>
    <w:p>
      <w:pPr>
        <w:pStyle w:val="Style17"/>
        <w:widowControl w:val="0"/>
        <w:keepNext/>
        <w:keepLines/>
        <w:shd w:val="clear" w:color="auto" w:fill="auto"/>
        <w:bidi w:val="0"/>
        <w:spacing w:before="0" w:after="0" w:line="300" w:lineRule="exact"/>
        <w:ind w:left="0" w:right="60" w:firstLine="0"/>
      </w:pPr>
      <w:bookmarkStart w:id="1" w:name="bookmark1"/>
      <w:r>
        <w:rPr>
          <w:rStyle w:val="CharStyle19"/>
          <w:b/>
          <w:bCs/>
        </w:rPr>
        <w:t xml:space="preserve">монополияге </w:t>
      </w:r>
      <w:r>
        <w:rPr>
          <w:rStyle w:val="CharStyle20"/>
          <w:b/>
          <w:bCs/>
        </w:rPr>
        <w:t>каршы</w:t>
      </w:r>
      <w:bookmarkEnd w:id="1"/>
    </w:p>
    <w:p>
      <w:pPr>
        <w:pStyle w:val="Style3"/>
        <w:widowControl w:val="0"/>
        <w:keepNext w:val="0"/>
        <w:keepLines w:val="0"/>
        <w:shd w:val="clear" w:color="auto" w:fill="auto"/>
        <w:bidi w:val="0"/>
        <w:spacing w:before="0" w:after="252" w:line="220" w:lineRule="exact"/>
        <w:ind w:left="0" w:right="60" w:firstLine="0"/>
      </w:pPr>
      <w:r>
        <w:rPr>
          <w:rStyle w:val="CharStyle5"/>
          <w:b/>
          <w:bCs/>
        </w:rPr>
        <w:t>ФЕДЕРАЛЬ ХЕЗМЭТ</w:t>
      </w:r>
    </w:p>
    <w:p>
      <w:pPr>
        <w:pStyle w:val="Style3"/>
        <w:widowControl w:val="0"/>
        <w:keepNext w:val="0"/>
        <w:keepLines w:val="0"/>
        <w:shd w:val="clear" w:color="auto" w:fill="auto"/>
        <w:bidi w:val="0"/>
        <w:spacing w:before="0" w:after="241" w:line="277" w:lineRule="exact"/>
        <w:ind w:left="0" w:right="60" w:firstLine="0"/>
      </w:pPr>
      <w:r>
        <w:rPr>
          <w:rStyle w:val="CharStyle5"/>
          <w:b/>
          <w:bCs/>
        </w:rPr>
        <w:t>Монополиям каршы Федераль хезмэтнен Татарстан Республикасы буенча идарэсе</w:t>
      </w:r>
    </w:p>
    <w:p>
      <w:pPr>
        <w:pStyle w:val="Style6"/>
        <w:widowControl w:val="0"/>
        <w:keepNext w:val="0"/>
        <w:keepLines w:val="0"/>
        <w:shd w:val="clear" w:color="auto" w:fill="auto"/>
        <w:bidi w:val="0"/>
        <w:spacing w:before="0" w:after="865"/>
        <w:ind w:left="0" w:right="60" w:firstLine="0"/>
      </w:pPr>
      <w:r>
        <w:rPr>
          <w:rStyle w:val="CharStyle8"/>
        </w:rPr>
        <w:t xml:space="preserve">Мэскэу ур., 55 Порт. Казан шаИэре, 420021 тел.: (843) 236-89-22. факс (843) 238-19-46 </w:t>
      </w:r>
      <w:r>
        <w:rPr>
          <w:rStyle w:val="CharStyle8"/>
          <w:lang w:val="en-US" w:eastAsia="en-US" w:bidi="en-US"/>
        </w:rPr>
        <w:t xml:space="preserve">e-mail: </w:t>
      </w:r>
      <w:r>
        <w:rPr>
          <w:rStyle w:val="CharStyle8"/>
        </w:rPr>
        <w:t xml:space="preserve">ю </w:t>
      </w:r>
      <w:r>
        <w:fldChar w:fldCharType="begin"/>
      </w:r>
      <w:r>
        <w:rPr>
          <w:rStyle w:val="CharStyle8"/>
        </w:rPr>
        <w:instrText> HYPERLINK "mailto:16@fas.gov.ru" </w:instrText>
      </w:r>
      <w:r>
        <w:fldChar w:fldCharType="separate"/>
      </w:r>
      <w:r>
        <w:rPr>
          <w:rStyle w:val="Hyperlink"/>
        </w:rPr>
        <w:t>1</w:t>
      </w:r>
      <w:r>
        <w:rPr>
          <w:rStyle w:val="Hyperlink"/>
          <w:lang w:val="en-US" w:eastAsia="en-US" w:bidi="en-US"/>
        </w:rPr>
        <w:t>6@fas.gov.ru</w:t>
      </w:r>
      <w:r>
        <w:fldChar w:fldCharType="end"/>
      </w:r>
    </w:p>
    <w:p>
      <w:pPr>
        <w:pStyle w:val="Style21"/>
        <w:widowControl w:val="0"/>
        <w:keepNext w:val="0"/>
        <w:keepLines w:val="0"/>
        <w:shd w:val="clear" w:color="auto" w:fill="auto"/>
        <w:bidi w:val="0"/>
        <w:jc w:val="left"/>
        <w:spacing w:before="0" w:after="0"/>
        <w:ind w:left="20" w:right="0" w:firstLine="0"/>
      </w:pPr>
      <w:r>
        <w:rPr>
          <w:lang w:val="ru-RU" w:eastAsia="ru-RU" w:bidi="ru-RU"/>
          <w:w w:val="100"/>
          <w:color w:val="000000"/>
          <w:position w:val="0"/>
        </w:rPr>
        <w:t>Заказчику:</w:t>
      </w:r>
    </w:p>
    <w:p>
      <w:pPr>
        <w:pStyle w:val="Style21"/>
        <w:widowControl w:val="0"/>
        <w:keepNext w:val="0"/>
        <w:keepLines w:val="0"/>
        <w:shd w:val="clear" w:color="auto" w:fill="auto"/>
        <w:bidi w:val="0"/>
        <w:jc w:val="left"/>
        <w:spacing w:before="0" w:after="300"/>
        <w:ind w:left="20" w:right="0" w:firstLine="0"/>
      </w:pPr>
      <w:r>
        <w:rPr>
          <w:lang w:val="ru-RU" w:eastAsia="ru-RU" w:bidi="ru-RU"/>
          <w:w w:val="100"/>
          <w:color w:val="000000"/>
          <w:position w:val="0"/>
        </w:rPr>
        <w:t xml:space="preserve">Федеральное государственное казенное общеобразовательное учреждение «Казанское суворовское военное училище Министерства обороны Российской Федерации» </w:t>
      </w:r>
      <w:r>
        <w:rPr>
          <w:rStyle w:val="CharStyle23"/>
        </w:rPr>
        <w:t xml:space="preserve">kz </w:t>
      </w:r>
      <w:r>
        <w:fldChar w:fldCharType="begin"/>
      </w:r>
      <w:r>
        <w:rPr>
          <w:rStyle w:val="CharStyle23"/>
        </w:rPr>
        <w:instrText> HYPERLINK "mailto:svu@mil.ru" </w:instrText>
      </w:r>
      <w:r>
        <w:fldChar w:fldCharType="separate"/>
      </w:r>
      <w:r>
        <w:rPr>
          <w:rStyle w:val="Hyperlink"/>
        </w:rPr>
        <w:t>svu@mil.ru</w:t>
      </w:r>
      <w:r>
        <w:fldChar w:fldCharType="end"/>
      </w:r>
    </w:p>
    <w:p>
      <w:pPr>
        <w:pStyle w:val="Style21"/>
        <w:widowControl w:val="0"/>
        <w:keepNext w:val="0"/>
        <w:keepLines w:val="0"/>
        <w:shd w:val="clear" w:color="auto" w:fill="auto"/>
        <w:bidi w:val="0"/>
        <w:jc w:val="left"/>
        <w:spacing w:before="0" w:after="0"/>
        <w:ind w:left="20" w:right="0" w:firstLine="0"/>
      </w:pPr>
      <w:r>
        <w:rPr>
          <w:lang w:val="ru-RU" w:eastAsia="ru-RU" w:bidi="ru-RU"/>
          <w:w w:val="100"/>
          <w:color w:val="000000"/>
          <w:position w:val="0"/>
        </w:rPr>
        <w:t>Заявителю:</w:t>
      </w:r>
    </w:p>
    <w:p>
      <w:pPr>
        <w:pStyle w:val="Style21"/>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105" w:left="554" w:right="1281" w:bottom="1261" w:header="0" w:footer="3" w:gutter="0"/>
          <w:rtlGutter w:val="0"/>
          <w:cols w:num="2" w:space="1321"/>
          <w:noEndnote/>
          <w:docGrid w:linePitch="360"/>
        </w:sectPr>
      </w:pPr>
      <w:r>
        <w:rPr>
          <w:lang w:val="ru-RU" w:eastAsia="ru-RU" w:bidi="ru-RU"/>
          <w:w w:val="100"/>
          <w:color w:val="000000"/>
          <w:position w:val="0"/>
        </w:rPr>
        <w:t xml:space="preserve">ООО Агентство охраны «ГЮРЗА» </w:t>
      </w:r>
      <w:r>
        <w:rPr>
          <w:rStyle w:val="CharStyle23"/>
          <w:lang w:val="ru-RU" w:eastAsia="ru-RU" w:bidi="ru-RU"/>
        </w:rPr>
        <w:t xml:space="preserve">д </w:t>
      </w:r>
      <w:r>
        <w:fldChar w:fldCharType="begin"/>
      </w:r>
      <w:r>
        <w:rPr>
          <w:rStyle w:val="CharStyle23"/>
        </w:rPr>
        <w:instrText> HYPERLINK "mailto:urza-stav@list.ru" </w:instrText>
      </w:r>
      <w:r>
        <w:fldChar w:fldCharType="separate"/>
      </w:r>
      <w:r>
        <w:rPr>
          <w:rStyle w:val="Hyperlink"/>
        </w:rPr>
        <w:t>urza-stav@list.ru</w:t>
      </w:r>
      <w:r>
        <w:fldChar w:fldCharType="end"/>
      </w:r>
    </w:p>
    <w:p>
      <w:pPr>
        <w:widowControl w:val="0"/>
        <w:spacing w:before="40" w:after="4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widowControl w:val="0"/>
        <w:keepNext w:val="0"/>
        <w:keepLines w:val="0"/>
        <w:shd w:val="clear" w:color="auto" w:fill="auto"/>
        <w:bidi w:val="0"/>
        <w:spacing w:before="0" w:after="351"/>
        <w:ind w:left="0" w:right="0" w:firstLine="0"/>
      </w:pPr>
      <w:r>
        <w:rPr>
          <w:lang w:val="ru-RU" w:eastAsia="ru-RU" w:bidi="ru-RU"/>
          <w:sz w:val="24"/>
          <w:szCs w:val="24"/>
          <w:w w:val="100"/>
          <w:color w:val="000000"/>
          <w:position w:val="0"/>
        </w:rPr>
        <w:t>Решение по делу №016/06/87-2111/2021 о нарушении законодательства в сфере закупок товаров, работ, услуг для обеспечения государственных и муниципальных нужд</w:t>
      </w:r>
    </w:p>
    <w:p>
      <w:pPr>
        <w:pStyle w:val="Style21"/>
        <w:tabs>
          <w:tab w:leader="none" w:pos="9276" w:val="right"/>
          <w:tab w:leader="none" w:pos="10133" w:val="right"/>
        </w:tabs>
        <w:widowControl w:val="0"/>
        <w:keepNext w:val="0"/>
        <w:keepLines w:val="0"/>
        <w:shd w:val="clear" w:color="auto" w:fill="auto"/>
        <w:bidi w:val="0"/>
        <w:jc w:val="both"/>
        <w:spacing w:before="0" w:after="253" w:line="260" w:lineRule="exact"/>
        <w:ind w:left="20" w:right="0" w:firstLine="0"/>
      </w:pPr>
      <w:r>
        <w:rPr>
          <w:lang w:val="ru-RU" w:eastAsia="ru-RU" w:bidi="ru-RU"/>
          <w:w w:val="100"/>
          <w:color w:val="000000"/>
          <w:position w:val="0"/>
        </w:rPr>
        <w:t>10 ноября 2021 года</w:t>
        <w:tab/>
        <w:t>г.</w:t>
        <w:tab/>
        <w:t>Казань</w:t>
      </w:r>
    </w:p>
    <w:p>
      <w:pPr>
        <w:pStyle w:val="Style21"/>
        <w:widowControl w:val="0"/>
        <w:keepNext w:val="0"/>
        <w:keepLines w:val="0"/>
        <w:shd w:val="clear" w:color="auto" w:fill="auto"/>
        <w:bidi w:val="0"/>
        <w:jc w:val="both"/>
        <w:spacing w:before="0" w:after="0" w:line="317" w:lineRule="exact"/>
        <w:ind w:left="20" w:right="20" w:firstLine="680"/>
      </w:pPr>
      <w:r>
        <w:rPr>
          <w:lang w:val="ru-RU" w:eastAsia="ru-RU" w:bidi="ru-RU"/>
          <w:w w:val="10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21"/>
        <w:tabs>
          <w:tab w:leader="none" w:pos="6047" w:val="left"/>
          <w:tab w:leader="none" w:pos="7491" w:val="left"/>
          <w:tab w:leader="none" w:pos="8679" w:val="right"/>
        </w:tabs>
        <w:widowControl w:val="0"/>
        <w:keepNext w:val="0"/>
        <w:keepLines w:val="0"/>
        <w:shd w:val="clear" w:color="auto" w:fill="auto"/>
        <w:bidi w:val="0"/>
        <w:jc w:val="both"/>
        <w:spacing w:before="0" w:after="0" w:line="317" w:lineRule="exact"/>
        <w:ind w:left="820" w:right="0" w:firstLine="0"/>
      </w:pPr>
      <w:r>
        <w:rPr>
          <w:lang w:val="ru-RU" w:eastAsia="ru-RU" w:bidi="ru-RU"/>
          <w:w w:val="100"/>
          <w:color w:val="000000"/>
          <w:position w:val="0"/>
        </w:rPr>
        <w:t>Зам. Председателя Комиссии:</w:t>
        <w:tab/>
        <w:t>Амировой</w:t>
        <w:tab/>
        <w:t>В.Р.</w:t>
        <w:tab/>
        <w:t>- начальника</w:t>
      </w:r>
    </w:p>
    <w:p>
      <w:pPr>
        <w:pStyle w:val="Style21"/>
        <w:widowControl w:val="0"/>
        <w:keepNext w:val="0"/>
        <w:keepLines w:val="0"/>
        <w:shd w:val="clear" w:color="auto" w:fill="auto"/>
        <w:bidi w:val="0"/>
        <w:jc w:val="left"/>
        <w:spacing w:before="0" w:after="0" w:line="317" w:lineRule="exact"/>
        <w:ind w:left="6080" w:right="0" w:firstLine="0"/>
      </w:pPr>
      <w:r>
        <w:rPr>
          <w:lang w:val="ru-RU" w:eastAsia="ru-RU" w:bidi="ru-RU"/>
          <w:w w:val="100"/>
          <w:color w:val="000000"/>
          <w:position w:val="0"/>
        </w:rPr>
        <w:t>отдела,</w:t>
      </w:r>
    </w:p>
    <w:p>
      <w:pPr>
        <w:pStyle w:val="Style21"/>
        <w:tabs>
          <w:tab w:leader="none" w:pos="6047" w:val="left"/>
          <w:tab w:leader="none" w:pos="7491" w:val="left"/>
          <w:tab w:leader="none" w:pos="8679" w:val="right"/>
          <w:tab w:leader="none" w:pos="10133" w:val="right"/>
        </w:tabs>
        <w:widowControl w:val="0"/>
        <w:keepNext w:val="0"/>
        <w:keepLines w:val="0"/>
        <w:shd w:val="clear" w:color="auto" w:fill="auto"/>
        <w:bidi w:val="0"/>
        <w:jc w:val="both"/>
        <w:spacing w:before="0" w:after="0" w:line="317" w:lineRule="exact"/>
        <w:ind w:left="820" w:right="0" w:firstLine="0"/>
      </w:pPr>
      <w:r>
        <w:rPr>
          <w:lang w:val="ru-RU" w:eastAsia="ru-RU" w:bidi="ru-RU"/>
          <w:w w:val="100"/>
          <w:color w:val="000000"/>
          <w:position w:val="0"/>
        </w:rPr>
        <w:t>Членов Комиссии:</w:t>
        <w:tab/>
        <w:t>Кучеевой</w:t>
        <w:tab/>
        <w:t>А.С.</w:t>
        <w:tab/>
        <w:t>-</w:t>
        <w:tab/>
        <w:t>старшего</w:t>
      </w:r>
    </w:p>
    <w:p>
      <w:pPr>
        <w:pStyle w:val="Style21"/>
        <w:tabs>
          <w:tab w:leader="none" w:pos="7521" w:val="left"/>
          <w:tab w:leader="none" w:pos="8679" w:val="right"/>
          <w:tab w:leader="none" w:pos="10133" w:val="right"/>
        </w:tabs>
        <w:widowControl w:val="0"/>
        <w:keepNext w:val="0"/>
        <w:keepLines w:val="0"/>
        <w:shd w:val="clear" w:color="auto" w:fill="auto"/>
        <w:bidi w:val="0"/>
        <w:jc w:val="left"/>
        <w:spacing w:before="0" w:after="0" w:line="317" w:lineRule="exact"/>
        <w:ind w:left="6080" w:right="120" w:firstLine="0"/>
      </w:pPr>
      <w:r>
        <w:rPr>
          <w:lang w:val="ru-RU" w:eastAsia="ru-RU" w:bidi="ru-RU"/>
          <w:w w:val="100"/>
          <w:color w:val="000000"/>
          <w:position w:val="0"/>
        </w:rPr>
        <w:t>государственного инспектора, Акперовой</w:t>
        <w:tab/>
        <w:t>Л.А.</w:t>
        <w:tab/>
        <w:t>-</w:t>
        <w:tab/>
        <w:t>ведущего</w:t>
      </w:r>
    </w:p>
    <w:p>
      <w:pPr>
        <w:pStyle w:val="Style21"/>
        <w:widowControl w:val="0"/>
        <w:keepNext w:val="0"/>
        <w:keepLines w:val="0"/>
        <w:shd w:val="clear" w:color="auto" w:fill="auto"/>
        <w:bidi w:val="0"/>
        <w:jc w:val="both"/>
        <w:spacing w:before="0" w:after="346" w:line="317" w:lineRule="exact"/>
        <w:ind w:left="20" w:right="20" w:firstLine="6060"/>
      </w:pPr>
      <w:r>
        <w:rPr>
          <w:lang w:val="ru-RU" w:eastAsia="ru-RU" w:bidi="ru-RU"/>
          <w:w w:val="100"/>
          <w:color w:val="000000"/>
          <w:position w:val="0"/>
        </w:rPr>
        <w:t>специалиста-эксперта, в присутствии представителей заказчика Федерального государственного казенного общеобразовательного учреждения «Казанское суворовское военное училище Министерства обороны Российской Федерации» - Соколова В.Н. (доверенность от 09.11.2021г. №б/н), Жаркова О.А., Хайбуллиной Е.Н., Ухванькова А.Ф. (в качестве слушателей), в отсутствии представителей заявителя ООО Агентство охраны «ГЮРЗА», о времени и месте рассмотрения жалобы уведомленных надлежащим образом, рассмотрев в режиме видеоконференцсвязи жалобу ООО Агентство охраны «ГЮРЗА» (вх. № 14504/ж от 28.10.2021г.) на действия заказчика Федерального государственного казенного общеобразовательного учреждения «Казанское суворовское военное училище Министерства обороны Российской Федерации» при проведении закупки №0811100003621000008 на предмет: «Оказание услуг по охране служебных помещений для нужд федерального государственного казенного общеобразовательного учреждения «Казанское суворовское военное училище Министерства обороны Российской Федерации»,</w:t>
      </w:r>
    </w:p>
    <w:p>
      <w:pPr>
        <w:pStyle w:val="Style21"/>
        <w:widowControl w:val="0"/>
        <w:keepNext w:val="0"/>
        <w:keepLines w:val="0"/>
        <w:shd w:val="clear" w:color="auto" w:fill="auto"/>
        <w:bidi w:val="0"/>
        <w:jc w:val="left"/>
        <w:spacing w:before="0" w:after="288" w:line="260" w:lineRule="exact"/>
        <w:ind w:left="4140" w:right="0" w:firstLine="0"/>
      </w:pPr>
      <w:r>
        <w:rPr>
          <w:rStyle w:val="CharStyle27"/>
        </w:rPr>
        <w:t>УСТАНОВИЛА:</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Изменение извещения о проведении закрытого аукциона №0811100003621000008 опубликовано на официальном сайте Российской Федерации для размещения информации о размещении заказов </w:t>
      </w:r>
      <w:r>
        <w:rPr>
          <w:rStyle w:val="CharStyle28"/>
          <w:lang w:val="en-US" w:eastAsia="en-US" w:bidi="en-US"/>
        </w:rPr>
        <w:t>www</w:t>
      </w:r>
      <w:r>
        <w:rPr>
          <w:rStyle w:val="CharStyle28"/>
        </w:rPr>
        <w:t>.</w:t>
      </w:r>
      <w:r>
        <w:rPr>
          <w:rStyle w:val="CharStyle28"/>
          <w:lang w:val="en-US" w:eastAsia="en-US" w:bidi="en-US"/>
        </w:rPr>
        <w:t>zakupki.</w:t>
      </w:r>
      <w:r>
        <w:rPr>
          <w:rStyle w:val="CharStyle28"/>
        </w:rPr>
        <w:t>цо</w:t>
      </w:r>
      <w:r>
        <w:rPr>
          <w:rStyle w:val="CharStyle28"/>
          <w:lang w:val="en-US" w:eastAsia="en-US" w:bidi="en-US"/>
        </w:rPr>
        <w:t>v.m</w:t>
      </w:r>
      <w:r>
        <w:rPr>
          <w:lang w:val="en-US" w:eastAsia="en-US" w:bidi="en-US"/>
          <w:w w:val="100"/>
          <w:color w:val="000000"/>
          <w:position w:val="0"/>
        </w:rPr>
        <w:t xml:space="preserve"> - 19.10.2021r.</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Заказчик </w:t>
      </w:r>
      <w:r>
        <w:rPr>
          <w:lang w:val="en-US" w:eastAsia="en-US" w:bidi="en-US"/>
          <w:w w:val="100"/>
          <w:color w:val="000000"/>
          <w:position w:val="0"/>
        </w:rPr>
        <w:t xml:space="preserve">- </w:t>
      </w:r>
      <w:r>
        <w:rPr>
          <w:lang w:val="ru-RU" w:eastAsia="ru-RU" w:bidi="ru-RU"/>
          <w:w w:val="100"/>
          <w:color w:val="000000"/>
          <w:position w:val="0"/>
        </w:rPr>
        <w:t>Федеральное государственное казенное общеобразовательное учреждение «Казанское суворовское военное училище Министерства обороны Российской Федерации».</w:t>
      </w:r>
    </w:p>
    <w:p>
      <w:pPr>
        <w:pStyle w:val="Style21"/>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Начальная (максимальная) цена контракта - 7 500 240,00 рублей.</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Суть жалобы, по мнению заявителя, закупка проведена с нарушениями норм действующего законодательства в сфере закупок.</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Заказчик с доводами, изложенными в жалобе не согласился, представил устные и письменные пояснения, а также документы по закупке, которые приобщены к материалам дела.</w:t>
      </w:r>
    </w:p>
    <w:p>
      <w:pPr>
        <w:pStyle w:val="Style25"/>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color w:val="000000"/>
          <w:position w:val="0"/>
        </w:rPr>
        <w:t>Комиссия Татарстанского УФАС России по результатам рассмотрения доводов заявителя на действия заказчика и позиции заказчика, изучения документации аукциона приходит к следующим выводам.</w:t>
      </w:r>
    </w:p>
    <w:p>
      <w:pPr>
        <w:pStyle w:val="Style29"/>
        <w:numPr>
          <w:ilvl w:val="0"/>
          <w:numId w:val="1"/>
        </w:numPr>
        <w:tabs>
          <w:tab w:leader="none" w:pos="1453" w:val="left"/>
        </w:tabs>
        <w:widowControl w:val="0"/>
        <w:keepNext w:val="0"/>
        <w:keepLines w:val="0"/>
        <w:shd w:val="clear" w:color="auto" w:fill="auto"/>
        <w:bidi w:val="0"/>
        <w:spacing w:before="0" w:after="0"/>
        <w:ind w:left="20" w:right="20"/>
      </w:pPr>
      <w:r>
        <w:rPr>
          <w:lang w:val="ru-RU" w:eastAsia="ru-RU" w:bidi="ru-RU"/>
          <w:w w:val="100"/>
          <w:spacing w:val="0"/>
          <w:color w:val="000000"/>
          <w:position w:val="0"/>
        </w:rPr>
        <w:t>Относительно довода заявителя о то, что заказчиком не применены характеристики из позиций КТРУ, а также отсутствует обоснование потребности иных характеристик описания объекта закупки.</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пунктом 1 части 1 статьи 87 Закона о контрактной системе документация о закрытом аукционе должна содержать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начальной суммы цен единиц товара, работы, услуги.</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Постановлением Правительства РФ от 08.02.2017 </w:t>
      </w:r>
      <w:r>
        <w:rPr>
          <w:lang w:val="en-US" w:eastAsia="en-US" w:bidi="en-US"/>
          <w:w w:val="100"/>
          <w:color w:val="000000"/>
          <w:position w:val="0"/>
        </w:rPr>
        <w:t xml:space="preserve">N </w:t>
      </w:r>
      <w:r>
        <w:rPr>
          <w:lang w:val="ru-RU" w:eastAsia="ru-RU" w:bidi="ru-RU"/>
          <w:w w:val="100"/>
          <w:color w:val="000000"/>
          <w:position w:val="0"/>
        </w:rPr>
        <w:t>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Согласно пункту 4 Правил заказчики обязаны применять информацию, включенную в позицию каталога в соответствии с подпунктами "б" - "и" пункта 10 Правил с указанной в ней даты начала обязательного применения.</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пунктом 5 Правил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21"/>
        <w:tabs>
          <w:tab w:leader="none" w:pos="2029" w:val="left"/>
          <w:tab w:leader="none" w:pos="2389" w:val="left"/>
          <w:tab w:leader="none" w:pos="1154" w:val="left"/>
        </w:tabs>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а)</w:t>
        <w:tab/>
        <w:t>осуществления закупки радиоэлектронной продукции, включенной в пункты 25(1)</w:t>
        <w:tab/>
        <w:t>-</w:t>
        <w:tab/>
        <w:t>25(7) перечня промышленных товаров, происходящих из</w:t>
      </w:r>
    </w:p>
    <w:p>
      <w:pPr>
        <w:pStyle w:val="Style21"/>
        <w:widowControl w:val="0"/>
        <w:keepNext w:val="0"/>
        <w:keepLines w:val="0"/>
        <w:shd w:val="clear" w:color="auto" w:fill="auto"/>
        <w:bidi w:val="0"/>
        <w:jc w:val="both"/>
        <w:spacing w:before="0" w:after="0"/>
        <w:ind w:left="20" w:right="20" w:firstLine="0"/>
      </w:pPr>
      <w:r>
        <w:rPr>
          <w:lang w:val="ru-RU" w:eastAsia="ru-RU" w:bidi="ru-RU"/>
          <w:w w:val="100"/>
          <w:color w:val="000000"/>
          <w:position w:val="0"/>
        </w:rPr>
        <w:t xml:space="preserve">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w:t>
      </w:r>
      <w:r>
        <w:rPr>
          <w:lang w:val="en-US" w:eastAsia="en-US" w:bidi="en-US"/>
          <w:w w:val="100"/>
          <w:color w:val="000000"/>
          <w:position w:val="0"/>
        </w:rPr>
        <w:t xml:space="preserve">N </w:t>
      </w:r>
      <w:r>
        <w:rPr>
          <w:lang w:val="ru-RU" w:eastAsia="ru-RU" w:bidi="ru-RU"/>
          <w:w w:val="100"/>
          <w:color w:val="000000"/>
          <w:position w:val="0"/>
        </w:rPr>
        <w:t xml:space="preserve">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w:t>
      </w:r>
      <w:r>
        <w:rPr>
          <w:lang w:val="en-US" w:eastAsia="en-US" w:bidi="en-US"/>
          <w:w w:val="100"/>
          <w:color w:val="000000"/>
          <w:position w:val="0"/>
        </w:rPr>
        <w:t xml:space="preserve">N </w:t>
      </w:r>
      <w:r>
        <w:rPr>
          <w:lang w:val="ru-RU" w:eastAsia="ru-RU" w:bidi="ru-RU"/>
          <w:w w:val="100"/>
          <w:color w:val="000000"/>
          <w:position w:val="0"/>
        </w:rPr>
        <w:t xml:space="preserve">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color w:val="000000"/>
          <w:position w:val="0"/>
        </w:rPr>
        <w:t xml:space="preserve">N </w:t>
      </w:r>
      <w:r>
        <w:rPr>
          <w:lang w:val="ru-RU" w:eastAsia="ru-RU" w:bidi="ru-RU"/>
          <w:w w:val="100"/>
          <w:color w:val="000000"/>
          <w:position w:val="0"/>
        </w:rPr>
        <w:t>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w:t>
        <w:br w:type="page"/>
        <w:t>ограничения на допуск радиоэлектронной продукции, происходящей из иностранных государств;</w:t>
      </w:r>
    </w:p>
    <w:p>
      <w:pPr>
        <w:pStyle w:val="Style21"/>
        <w:tabs>
          <w:tab w:leader="none" w:pos="1107" w:val="left"/>
        </w:tabs>
        <w:widowControl w:val="0"/>
        <w:keepNext w:val="0"/>
        <w:keepLines w:val="0"/>
        <w:shd w:val="clear" w:color="auto" w:fill="auto"/>
        <w:bidi w:val="0"/>
        <w:jc w:val="both"/>
        <w:spacing w:before="0" w:after="0" w:line="324" w:lineRule="exact"/>
        <w:ind w:left="20" w:right="20" w:firstLine="700"/>
      </w:pPr>
      <w:r>
        <w:rPr>
          <w:lang w:val="ru-RU" w:eastAsia="ru-RU" w:bidi="ru-RU"/>
          <w:w w:val="100"/>
          <w:color w:val="000000"/>
          <w:position w:val="0"/>
        </w:rPr>
        <w:t>б)</w:t>
        <w:tab/>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pPr>
        <w:pStyle w:val="Style21"/>
        <w:widowControl w:val="0"/>
        <w:keepNext w:val="0"/>
        <w:keepLines w:val="0"/>
        <w:shd w:val="clear" w:color="auto" w:fill="auto"/>
        <w:bidi w:val="0"/>
        <w:jc w:val="both"/>
        <w:spacing w:before="0" w:after="0" w:line="324" w:lineRule="exact"/>
        <w:ind w:left="20" w:right="20" w:firstLine="700"/>
      </w:pPr>
      <w:r>
        <w:rPr>
          <w:lang w:val="ru-RU" w:eastAsia="ru-RU" w:bidi="ru-RU"/>
          <w:w w:val="100"/>
          <w:color w:val="000000"/>
          <w:position w:val="0"/>
        </w:rPr>
        <w:t>Согласно пункту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21"/>
        <w:widowControl w:val="0"/>
        <w:keepNext w:val="0"/>
        <w:keepLines w:val="0"/>
        <w:shd w:val="clear" w:color="auto" w:fill="auto"/>
        <w:bidi w:val="0"/>
        <w:jc w:val="both"/>
        <w:spacing w:before="0" w:after="0" w:line="324" w:lineRule="exact"/>
        <w:ind w:left="20" w:right="20" w:firstLine="700"/>
      </w:pPr>
      <w:r>
        <w:rPr>
          <w:lang w:val="ru-RU" w:eastAsia="ru-RU" w:bidi="ru-RU"/>
          <w:w w:val="100"/>
          <w:color w:val="000000"/>
          <w:position w:val="0"/>
        </w:rPr>
        <w:t>В соответствии с извещением о проведении закупки предметом контракта является оказание услуг по охране служебных помещений для нужд федерального государственного казенного общеобразовательного учреждения «Казанское суворовское военное училище Министерства обороны Российской Федерации».</w:t>
      </w:r>
    </w:p>
    <w:p>
      <w:pPr>
        <w:pStyle w:val="Style21"/>
        <w:framePr w:w="10188" w:h="640" w:wrap="notBeside" w:vAnchor="text" w:hAnchor="margin" w:x="150" w:y="7939"/>
        <w:widowControl w:val="0"/>
        <w:keepNext w:val="0"/>
        <w:keepLines w:val="0"/>
        <w:shd w:val="clear" w:color="auto" w:fill="auto"/>
        <w:bidi w:val="0"/>
        <w:jc w:val="left"/>
        <w:spacing w:before="0" w:after="0"/>
        <w:ind w:left="0" w:right="0" w:firstLine="700"/>
      </w:pPr>
      <w:r>
        <w:rPr>
          <w:rStyle w:val="CharStyle24"/>
          <w:spacing w:val="10"/>
        </w:rPr>
        <w:t>Также приложением №2 к документации о закрытом аукционе «Наименование и описание объекта закупки» заказчиком указано:</w:t>
      </w:r>
    </w:p>
    <w:p>
      <w:pPr>
        <w:pStyle w:val="Style21"/>
        <w:widowControl w:val="0"/>
        <w:keepNext w:val="0"/>
        <w:keepLines w:val="0"/>
        <w:shd w:val="clear" w:color="auto" w:fill="auto"/>
        <w:bidi w:val="0"/>
        <w:jc w:val="both"/>
        <w:spacing w:before="0" w:after="295" w:line="324" w:lineRule="exact"/>
        <w:ind w:left="20" w:right="20" w:firstLine="700"/>
      </w:pPr>
      <w:r>
        <w:rPr>
          <w:lang w:val="ru-RU" w:eastAsia="ru-RU" w:bidi="ru-RU"/>
          <w:w w:val="100"/>
          <w:color w:val="000000"/>
          <w:position w:val="0"/>
        </w:rPr>
        <w:t xml:space="preserve">В ходе анализа извещения (печатная вервия извещения на сайте </w:t>
      </w:r>
      <w:r>
        <w:rPr>
          <w:rStyle w:val="CharStyle28"/>
          <w:lang w:val="en-US" w:eastAsia="en-US" w:bidi="en-US"/>
        </w:rPr>
        <w:t>h ttps ://zakupki</w:t>
      </w:r>
      <w:r>
        <w:rPr>
          <w:rStyle w:val="CharStyle28"/>
        </w:rPr>
        <w:t xml:space="preserve">. </w:t>
      </w:r>
      <w:r>
        <w:rPr>
          <w:rStyle w:val="CharStyle28"/>
          <w:lang w:val="en-US" w:eastAsia="en-US" w:bidi="en-US"/>
        </w:rPr>
        <w:t>gov. ru/</w:t>
      </w:r>
      <w:r>
        <w:rPr>
          <w:lang w:val="en-US" w:eastAsia="en-US" w:bidi="en-US"/>
          <w:w w:val="100"/>
          <w:color w:val="000000"/>
          <w:position w:val="0"/>
        </w:rPr>
        <w:t xml:space="preserve">, </w:t>
      </w:r>
      <w:r>
        <w:rPr>
          <w:lang w:val="ru-RU" w:eastAsia="ru-RU" w:bidi="ru-RU"/>
          <w:w w:val="100"/>
          <w:color w:val="000000"/>
          <w:position w:val="0"/>
        </w:rPr>
        <w:t>представлен скриншот) и документации Комиссией установлено, что заказчиком применены позиции КТРУ 80.10.12.000-00000013 - Услуги частной охраны (Патрулирование), 80.10.12.000-00000003 - Услуги частной охраны (Выставление поста охраны).</w:t>
      </w:r>
    </w:p>
    <w:tbl>
      <w:tblPr>
        <w:tblOverlap w:val="never"/>
        <w:tblLayout w:type="fixed"/>
        <w:jc w:val="center"/>
      </w:tblPr>
      <w:tblGrid>
        <w:gridCol w:w="1832"/>
        <w:gridCol w:w="353"/>
        <w:gridCol w:w="184"/>
        <w:gridCol w:w="907"/>
        <w:gridCol w:w="1451"/>
        <w:gridCol w:w="1210"/>
        <w:gridCol w:w="238"/>
        <w:gridCol w:w="1458"/>
        <w:gridCol w:w="2210"/>
      </w:tblGrid>
      <w:tr>
        <w:trPr>
          <w:trHeight w:val="454" w:hRule="exact"/>
        </w:trPr>
        <w:tc>
          <w:tcPr>
            <w:shd w:val="clear" w:color="auto" w:fill="FFFFFF"/>
            <w:tcBorders/>
            <w:vAlign w:val="top"/>
          </w:tcPr>
          <w:p>
            <w:pPr>
              <w:framePr w:w="9842" w:wrap="notBeside" w:vAnchor="text" w:hAnchor="text" w:xAlign="center" w:y="1"/>
              <w:widowControl w:val="0"/>
              <w:rPr>
                <w:sz w:val="10"/>
                <w:szCs w:val="10"/>
              </w:rPr>
            </w:pPr>
          </w:p>
        </w:tc>
        <w:tc>
          <w:tcPr>
            <w:shd w:val="clear" w:color="auto" w:fill="FFFFFF"/>
            <w:tcBorders/>
            <w:vAlign w:val="top"/>
          </w:tcPr>
          <w:p>
            <w:pPr>
              <w:framePr w:w="9842" w:wrap="notBeside" w:vAnchor="text" w:hAnchor="text" w:xAlign="center" w:y="1"/>
              <w:widowControl w:val="0"/>
              <w:rPr>
                <w:sz w:val="10"/>
                <w:szCs w:val="10"/>
              </w:rPr>
            </w:pPr>
          </w:p>
        </w:tc>
        <w:tc>
          <w:tcPr>
            <w:shd w:val="clear" w:color="auto" w:fill="FFFFFF"/>
            <w:tcBorders/>
            <w:vAlign w:val="top"/>
          </w:tcPr>
          <w:p>
            <w:pPr>
              <w:framePr w:w="9842" w:wrap="notBeside" w:vAnchor="text" w:hAnchor="text" w:xAlign="center" w:y="1"/>
              <w:widowControl w:val="0"/>
              <w:rPr>
                <w:sz w:val="10"/>
                <w:szCs w:val="10"/>
              </w:rPr>
            </w:pPr>
          </w:p>
        </w:tc>
        <w:tc>
          <w:tcPr>
            <w:shd w:val="clear" w:color="auto" w:fill="FFFFFF"/>
            <w:tcBorders/>
            <w:vAlign w:val="center"/>
          </w:tcPr>
          <w:p>
            <w:pPr>
              <w:pStyle w:val="Style21"/>
              <w:framePr w:w="9842" w:wrap="notBeside" w:vAnchor="text" w:hAnchor="text" w:xAlign="center" w:y="1"/>
              <w:widowControl w:val="0"/>
              <w:keepNext w:val="0"/>
              <w:keepLines w:val="0"/>
              <w:shd w:val="clear" w:color="auto" w:fill="auto"/>
              <w:bidi w:val="0"/>
              <w:jc w:val="left"/>
              <w:spacing w:before="0" w:after="0" w:line="100" w:lineRule="exact"/>
              <w:ind w:left="40" w:right="0" w:firstLine="0"/>
            </w:pPr>
            <w:r>
              <w:rPr>
                <w:rStyle w:val="CharStyle36"/>
              </w:rPr>
              <w:t xml:space="preserve">Я • ' </w:t>
            </w:r>
            <w:r>
              <w:rPr>
                <w:rStyle w:val="CharStyle37"/>
                <w:vertAlign w:val="superscript"/>
              </w:rPr>
              <w:t>:</w:t>
            </w:r>
            <w:r>
              <w:rPr>
                <w:rStyle w:val="CharStyle37"/>
              </w:rPr>
              <w:t>.А"</w:t>
            </w:r>
          </w:p>
        </w:tc>
        <w:tc>
          <w:tcPr>
            <w:shd w:val="clear" w:color="auto" w:fill="FFFFFF"/>
            <w:tcBorders/>
            <w:vAlign w:val="top"/>
          </w:tcPr>
          <w:p>
            <w:pPr>
              <w:framePr w:w="9842" w:wrap="notBeside" w:vAnchor="text" w:hAnchor="text" w:xAlign="center" w:y="1"/>
              <w:widowControl w:val="0"/>
              <w:rPr>
                <w:sz w:val="10"/>
                <w:szCs w:val="10"/>
              </w:rPr>
            </w:pPr>
          </w:p>
        </w:tc>
        <w:tc>
          <w:tcPr>
            <w:shd w:val="clear" w:color="auto" w:fill="FFFFFF"/>
            <w:tcBorders/>
            <w:vAlign w:val="top"/>
          </w:tcPr>
          <w:p>
            <w:pPr>
              <w:framePr w:w="9842" w:wrap="notBeside" w:vAnchor="text" w:hAnchor="text" w:xAlign="center" w:y="1"/>
              <w:widowControl w:val="0"/>
              <w:rPr>
                <w:sz w:val="10"/>
                <w:szCs w:val="10"/>
              </w:rPr>
            </w:pPr>
          </w:p>
        </w:tc>
        <w:tc>
          <w:tcPr>
            <w:shd w:val="clear" w:color="auto" w:fill="FFFFFF"/>
            <w:tcBorders/>
            <w:vAlign w:val="top"/>
          </w:tcPr>
          <w:p>
            <w:pPr>
              <w:framePr w:w="9842" w:wrap="notBeside" w:vAnchor="text" w:hAnchor="text" w:xAlign="center" w:y="1"/>
              <w:widowControl w:val="0"/>
              <w:rPr>
                <w:sz w:val="10"/>
                <w:szCs w:val="10"/>
              </w:rPr>
            </w:pPr>
          </w:p>
        </w:tc>
        <w:tc>
          <w:tcPr>
            <w:shd w:val="clear" w:color="auto" w:fill="FFFFFF"/>
            <w:tcBorders/>
            <w:vAlign w:val="top"/>
          </w:tcPr>
          <w:p>
            <w:pPr>
              <w:framePr w:w="9842" w:wrap="notBeside" w:vAnchor="text" w:hAnchor="text" w:xAlign="center" w:y="1"/>
              <w:widowControl w:val="0"/>
              <w:rPr>
                <w:sz w:val="10"/>
                <w:szCs w:val="10"/>
              </w:rPr>
            </w:pPr>
          </w:p>
        </w:tc>
        <w:tc>
          <w:tcPr>
            <w:shd w:val="clear" w:color="auto" w:fill="FFFFFF"/>
            <w:tcBorders/>
            <w:vAlign w:val="top"/>
          </w:tcPr>
          <w:p>
            <w:pPr>
              <w:pStyle w:val="Style21"/>
              <w:framePr w:w="9842" w:wrap="notBeside" w:vAnchor="text" w:hAnchor="text" w:xAlign="center" w:y="1"/>
              <w:widowControl w:val="0"/>
              <w:keepNext w:val="0"/>
              <w:keepLines w:val="0"/>
              <w:shd w:val="clear" w:color="auto" w:fill="auto"/>
              <w:bidi w:val="0"/>
              <w:jc w:val="left"/>
              <w:spacing w:before="0" w:after="60" w:line="100" w:lineRule="exact"/>
              <w:ind w:left="1540" w:right="0" w:firstLine="0"/>
            </w:pPr>
            <w:r>
              <w:rPr>
                <w:rStyle w:val="CharStyle38"/>
              </w:rPr>
              <w:t xml:space="preserve">© </w:t>
            </w:r>
            <w:r>
              <w:rPr>
                <w:rStyle w:val="CharStyle36"/>
              </w:rPr>
              <w:t xml:space="preserve">- </w:t>
            </w:r>
            <w:r>
              <w:rPr>
                <w:rStyle w:val="CharStyle39"/>
              </w:rPr>
              <w:t>о</w:t>
            </w:r>
          </w:p>
          <w:p>
            <w:pPr>
              <w:pStyle w:val="Style21"/>
              <w:framePr w:w="9842" w:wrap="notBeside" w:vAnchor="text" w:hAnchor="text" w:xAlign="center" w:y="1"/>
              <w:widowControl w:val="0"/>
              <w:keepNext w:val="0"/>
              <w:keepLines w:val="0"/>
              <w:shd w:val="clear" w:color="auto" w:fill="auto"/>
              <w:bidi w:val="0"/>
              <w:jc w:val="right"/>
              <w:spacing w:before="60" w:after="0" w:line="100" w:lineRule="exact"/>
              <w:ind w:left="0" w:right="20" w:firstLine="0"/>
            </w:pPr>
            <w:r>
              <w:rPr>
                <w:rStyle w:val="CharStyle36"/>
              </w:rPr>
              <w:t>* ☆ о</w:t>
            </w:r>
          </w:p>
        </w:tc>
      </w:tr>
      <w:tr>
        <w:trPr>
          <w:trHeight w:val="328" w:hRule="exact"/>
        </w:trPr>
        <w:tc>
          <w:tcPr>
            <w:shd w:val="clear" w:color="auto" w:fill="FFFFFF"/>
            <w:tcBorders>
              <w:top w:val="single" w:sz="4"/>
            </w:tcBorders>
            <w:vAlign w:val="bottom"/>
          </w:tcPr>
          <w:p>
            <w:pPr>
              <w:pStyle w:val="Style21"/>
              <w:framePr w:w="9842" w:wrap="notBeside" w:vAnchor="text" w:hAnchor="text" w:xAlign="center" w:y="1"/>
              <w:widowControl w:val="0"/>
              <w:keepNext w:val="0"/>
              <w:keepLines w:val="0"/>
              <w:shd w:val="clear" w:color="auto" w:fill="auto"/>
              <w:bidi w:val="0"/>
              <w:jc w:val="left"/>
              <w:spacing w:before="0" w:after="0" w:line="90" w:lineRule="exact"/>
              <w:ind w:left="40" w:right="0" w:firstLine="0"/>
            </w:pPr>
            <w:r>
              <w:rPr>
                <w:rStyle w:val="CharStyle39"/>
              </w:rPr>
              <w:t xml:space="preserve">Российский </w:t>
            </w:r>
            <w:r>
              <w:rPr>
                <w:rStyle w:val="CharStyle38"/>
              </w:rPr>
              <w:t>рубль</w:t>
            </w:r>
          </w:p>
        </w:tc>
        <w:tc>
          <w:tcPr>
            <w:shd w:val="clear" w:color="auto" w:fill="FFFFFF"/>
            <w:tcBorders/>
            <w:vAlign w:val="top"/>
          </w:tcPr>
          <w:p>
            <w:pPr>
              <w:framePr w:w="9842" w:wrap="notBeside" w:vAnchor="text" w:hAnchor="text" w:xAlign="center" w:y="1"/>
              <w:widowControl w:val="0"/>
              <w:rPr>
                <w:sz w:val="10"/>
                <w:szCs w:val="10"/>
              </w:rPr>
            </w:pPr>
          </w:p>
        </w:tc>
        <w:tc>
          <w:tcPr>
            <w:shd w:val="clear" w:color="auto" w:fill="FFFFFF"/>
            <w:tcBorders/>
            <w:vAlign w:val="top"/>
          </w:tcPr>
          <w:p>
            <w:pPr>
              <w:framePr w:w="9842" w:wrap="notBeside" w:vAnchor="text" w:hAnchor="text" w:xAlign="center" w:y="1"/>
              <w:widowControl w:val="0"/>
              <w:rPr>
                <w:sz w:val="10"/>
                <w:szCs w:val="10"/>
              </w:rPr>
            </w:pPr>
          </w:p>
        </w:tc>
        <w:tc>
          <w:tcPr>
            <w:shd w:val="clear" w:color="auto" w:fill="FFFFFF"/>
            <w:tcBorders/>
            <w:vAlign w:val="top"/>
          </w:tcPr>
          <w:p>
            <w:pPr>
              <w:framePr w:w="9842" w:wrap="notBeside" w:vAnchor="text" w:hAnchor="text" w:xAlign="center" w:y="1"/>
              <w:widowControl w:val="0"/>
              <w:rPr>
                <w:sz w:val="10"/>
                <w:szCs w:val="10"/>
              </w:rPr>
            </w:pPr>
          </w:p>
        </w:tc>
        <w:tc>
          <w:tcPr>
            <w:shd w:val="clear" w:color="auto" w:fill="FFFFFF"/>
            <w:tcBorders>
              <w:top w:val="single" w:sz="4"/>
            </w:tcBorders>
            <w:vAlign w:val="top"/>
          </w:tcPr>
          <w:p>
            <w:pPr>
              <w:framePr w:w="9842" w:wrap="notBeside" w:vAnchor="text" w:hAnchor="text" w:xAlign="center" w:y="1"/>
              <w:widowControl w:val="0"/>
              <w:rPr>
                <w:sz w:val="10"/>
                <w:szCs w:val="10"/>
              </w:rPr>
            </w:pPr>
          </w:p>
        </w:tc>
        <w:tc>
          <w:tcPr>
            <w:shd w:val="clear" w:color="auto" w:fill="FFFFFF"/>
            <w:tcBorders/>
            <w:vAlign w:val="top"/>
          </w:tcPr>
          <w:p>
            <w:pPr>
              <w:framePr w:w="9842" w:wrap="notBeside" w:vAnchor="text" w:hAnchor="text" w:xAlign="center" w:y="1"/>
              <w:widowControl w:val="0"/>
              <w:rPr>
                <w:sz w:val="10"/>
                <w:szCs w:val="10"/>
              </w:rPr>
            </w:pPr>
          </w:p>
        </w:tc>
        <w:tc>
          <w:tcPr>
            <w:shd w:val="clear" w:color="auto" w:fill="FFFFFF"/>
            <w:tcBorders/>
            <w:vAlign w:val="top"/>
          </w:tcPr>
          <w:p>
            <w:pPr>
              <w:framePr w:w="9842" w:wrap="notBeside" w:vAnchor="text" w:hAnchor="text" w:xAlign="center" w:y="1"/>
              <w:widowControl w:val="0"/>
              <w:rPr>
                <w:sz w:val="10"/>
                <w:szCs w:val="10"/>
              </w:rPr>
            </w:pPr>
          </w:p>
        </w:tc>
        <w:tc>
          <w:tcPr>
            <w:shd w:val="clear" w:color="auto" w:fill="FFFFFF"/>
            <w:tcBorders/>
            <w:vAlign w:val="top"/>
          </w:tcPr>
          <w:p>
            <w:pPr>
              <w:framePr w:w="9842" w:wrap="notBeside" w:vAnchor="text" w:hAnchor="text" w:xAlign="center" w:y="1"/>
              <w:widowControl w:val="0"/>
              <w:rPr>
                <w:sz w:val="10"/>
                <w:szCs w:val="10"/>
              </w:rPr>
            </w:pPr>
          </w:p>
        </w:tc>
        <w:tc>
          <w:tcPr>
            <w:shd w:val="clear" w:color="auto" w:fill="FFFFFF"/>
            <w:tcBorders/>
            <w:vAlign w:val="top"/>
          </w:tcPr>
          <w:p>
            <w:pPr>
              <w:framePr w:w="9842" w:wrap="notBeside" w:vAnchor="text" w:hAnchor="text" w:xAlign="center" w:y="1"/>
              <w:widowControl w:val="0"/>
              <w:rPr>
                <w:sz w:val="10"/>
                <w:szCs w:val="10"/>
              </w:rPr>
            </w:pPr>
          </w:p>
        </w:tc>
      </w:tr>
      <w:tr>
        <w:trPr>
          <w:trHeight w:val="198" w:hRule="exact"/>
        </w:trPr>
        <w:tc>
          <w:tcPr>
            <w:shd w:val="clear" w:color="auto" w:fill="FFFFFF"/>
            <w:gridSpan w:val="3"/>
            <w:tcBorders>
              <w:left w:val="single" w:sz="4"/>
              <w:top w:val="single" w:sz="4"/>
            </w:tcBorders>
            <w:vAlign w:val="bottom"/>
          </w:tcPr>
          <w:p>
            <w:pPr>
              <w:pStyle w:val="Style21"/>
              <w:framePr w:w="9842" w:wrap="notBeside" w:vAnchor="text" w:hAnchor="text" w:xAlign="center" w:y="1"/>
              <w:widowControl w:val="0"/>
              <w:keepNext w:val="0"/>
              <w:keepLines w:val="0"/>
              <w:shd w:val="clear" w:color="auto" w:fill="auto"/>
              <w:bidi w:val="0"/>
              <w:jc w:val="left"/>
              <w:spacing w:before="0" w:after="0" w:line="90" w:lineRule="exact"/>
              <w:ind w:left="60" w:right="0" w:firstLine="0"/>
            </w:pPr>
            <w:r>
              <w:rPr>
                <w:rStyle w:val="CharStyle38"/>
              </w:rPr>
              <w:t xml:space="preserve">Кол </w:t>
            </w:r>
            <w:r>
              <w:rPr>
                <w:rStyle w:val="CharStyle39"/>
              </w:rPr>
              <w:t>бюджетной классификации</w:t>
            </w:r>
          </w:p>
        </w:tc>
        <w:tc>
          <w:tcPr>
            <w:shd w:val="clear" w:color="auto" w:fill="FFFFFF"/>
            <w:tcBorders>
              <w:left w:val="single" w:sz="4"/>
              <w:top w:val="single" w:sz="4"/>
            </w:tcBorders>
            <w:vAlign w:val="bottom"/>
          </w:tcPr>
          <w:p>
            <w:pPr>
              <w:pStyle w:val="Style21"/>
              <w:framePr w:w="9842" w:wrap="notBeside" w:vAnchor="text" w:hAnchor="text" w:xAlign="center" w:y="1"/>
              <w:widowControl w:val="0"/>
              <w:keepNext w:val="0"/>
              <w:keepLines w:val="0"/>
              <w:shd w:val="clear" w:color="auto" w:fill="auto"/>
              <w:bidi w:val="0"/>
              <w:jc w:val="left"/>
              <w:spacing w:before="0" w:after="0" w:line="90" w:lineRule="exact"/>
              <w:ind w:left="40" w:right="0" w:firstLine="0"/>
            </w:pPr>
            <w:r>
              <w:rPr>
                <w:rStyle w:val="CharStyle39"/>
              </w:rPr>
              <w:t>Всего:</w:t>
            </w:r>
          </w:p>
        </w:tc>
        <w:tc>
          <w:tcPr>
            <w:shd w:val="clear" w:color="auto" w:fill="FFFFFF"/>
            <w:tcBorders>
              <w:left w:val="single" w:sz="4"/>
              <w:top w:val="single" w:sz="4"/>
            </w:tcBorders>
            <w:vAlign w:val="bottom"/>
          </w:tcPr>
          <w:p>
            <w:pPr>
              <w:pStyle w:val="Style21"/>
              <w:framePr w:w="9842" w:wrap="notBeside" w:vAnchor="text" w:hAnchor="text" w:xAlign="center" w:y="1"/>
              <w:widowControl w:val="0"/>
              <w:keepNext w:val="0"/>
              <w:keepLines w:val="0"/>
              <w:shd w:val="clear" w:color="auto" w:fill="auto"/>
              <w:bidi w:val="0"/>
              <w:jc w:val="left"/>
              <w:spacing w:before="0" w:after="0" w:line="90" w:lineRule="exact"/>
              <w:ind w:left="40" w:right="0" w:firstLine="0"/>
            </w:pPr>
            <w:r>
              <w:rPr>
                <w:rStyle w:val="CharStyle39"/>
              </w:rPr>
              <w:t xml:space="preserve">Оплата за 202 </w:t>
            </w:r>
            <w:r>
              <w:rPr>
                <w:rStyle w:val="CharStyle39"/>
                <w:lang w:val="en-US" w:eastAsia="en-US" w:bidi="en-US"/>
              </w:rPr>
              <w:t xml:space="preserve">i </w:t>
            </w:r>
            <w:r>
              <w:rPr>
                <w:rStyle w:val="CharStyle39"/>
              </w:rPr>
              <w:t>год</w:t>
            </w:r>
          </w:p>
        </w:tc>
        <w:tc>
          <w:tcPr>
            <w:shd w:val="clear" w:color="auto" w:fill="FFFFFF"/>
            <w:gridSpan w:val="2"/>
            <w:tcBorders>
              <w:left w:val="single" w:sz="4"/>
              <w:top w:val="single" w:sz="4"/>
            </w:tcBorders>
            <w:vAlign w:val="bottom"/>
          </w:tcPr>
          <w:p>
            <w:pPr>
              <w:pStyle w:val="Style21"/>
              <w:framePr w:w="9842" w:wrap="notBeside" w:vAnchor="text" w:hAnchor="text" w:xAlign="center" w:y="1"/>
              <w:widowControl w:val="0"/>
              <w:keepNext w:val="0"/>
              <w:keepLines w:val="0"/>
              <w:shd w:val="clear" w:color="auto" w:fill="auto"/>
              <w:bidi w:val="0"/>
              <w:jc w:val="left"/>
              <w:spacing w:before="0" w:after="0" w:line="90" w:lineRule="exact"/>
              <w:ind w:left="40" w:right="0" w:firstLine="0"/>
            </w:pPr>
            <w:r>
              <w:rPr>
                <w:rStyle w:val="CharStyle39"/>
              </w:rPr>
              <w:t>Оплата ла 2022 гол</w:t>
            </w:r>
          </w:p>
        </w:tc>
        <w:tc>
          <w:tcPr>
            <w:shd w:val="clear" w:color="auto" w:fill="FFFFFF"/>
            <w:tcBorders>
              <w:left w:val="single" w:sz="4"/>
              <w:top w:val="single" w:sz="4"/>
            </w:tcBorders>
            <w:vAlign w:val="bottom"/>
          </w:tcPr>
          <w:p>
            <w:pPr>
              <w:pStyle w:val="Style21"/>
              <w:framePr w:w="9842" w:wrap="notBeside" w:vAnchor="text" w:hAnchor="text" w:xAlign="center" w:y="1"/>
              <w:widowControl w:val="0"/>
              <w:keepNext w:val="0"/>
              <w:keepLines w:val="0"/>
              <w:shd w:val="clear" w:color="auto" w:fill="auto"/>
              <w:bidi w:val="0"/>
              <w:jc w:val="left"/>
              <w:spacing w:before="0" w:after="0" w:line="90" w:lineRule="exact"/>
              <w:ind w:left="40" w:right="0" w:firstLine="0"/>
            </w:pPr>
            <w:r>
              <w:rPr>
                <w:rStyle w:val="CharStyle39"/>
              </w:rPr>
              <w:t>Оплата за 2023 год</w:t>
            </w:r>
          </w:p>
        </w:tc>
        <w:tc>
          <w:tcPr>
            <w:shd w:val="clear" w:color="auto" w:fill="FFFFFF"/>
            <w:tcBorders>
              <w:left w:val="single" w:sz="4"/>
              <w:right w:val="single" w:sz="4"/>
              <w:top w:val="single" w:sz="4"/>
            </w:tcBorders>
            <w:vAlign w:val="bottom"/>
          </w:tcPr>
          <w:p>
            <w:pPr>
              <w:pStyle w:val="Style21"/>
              <w:framePr w:w="9842" w:wrap="notBeside" w:vAnchor="text" w:hAnchor="text" w:xAlign="center" w:y="1"/>
              <w:widowControl w:val="0"/>
              <w:keepNext w:val="0"/>
              <w:keepLines w:val="0"/>
              <w:shd w:val="clear" w:color="auto" w:fill="auto"/>
              <w:bidi w:val="0"/>
              <w:jc w:val="left"/>
              <w:spacing w:before="0" w:after="0" w:line="90" w:lineRule="exact"/>
              <w:ind w:left="40" w:right="0" w:firstLine="0"/>
            </w:pPr>
            <w:r>
              <w:rPr>
                <w:rStyle w:val="CharStyle39"/>
              </w:rPr>
              <w:t xml:space="preserve">Сумма на последующие </w:t>
            </w:r>
            <w:r>
              <w:rPr>
                <w:rStyle w:val="CharStyle38"/>
              </w:rPr>
              <w:t>голы</w:t>
            </w:r>
          </w:p>
        </w:tc>
      </w:tr>
      <w:tr>
        <w:trPr>
          <w:trHeight w:val="209" w:hRule="exact"/>
        </w:trPr>
        <w:tc>
          <w:tcPr>
            <w:shd w:val="clear" w:color="auto" w:fill="FFFFFF"/>
            <w:gridSpan w:val="3"/>
            <w:tcBorders>
              <w:left w:val="single" w:sz="4"/>
              <w:top w:val="single" w:sz="4"/>
              <w:bottom w:val="single" w:sz="4"/>
            </w:tcBorders>
            <w:vAlign w:val="center"/>
          </w:tcPr>
          <w:p>
            <w:pPr>
              <w:pStyle w:val="Style21"/>
              <w:framePr w:w="9842" w:wrap="notBeside" w:vAnchor="text" w:hAnchor="text" w:xAlign="center" w:y="1"/>
              <w:widowControl w:val="0"/>
              <w:keepNext w:val="0"/>
              <w:keepLines w:val="0"/>
              <w:shd w:val="clear" w:color="auto" w:fill="auto"/>
              <w:bidi w:val="0"/>
              <w:jc w:val="left"/>
              <w:spacing w:before="0" w:after="0" w:line="90" w:lineRule="exact"/>
              <w:ind w:left="60" w:right="0" w:firstLine="0"/>
            </w:pPr>
            <w:r>
              <w:rPr>
                <w:rStyle w:val="CharStyle39"/>
                <w:lang w:val="en-US" w:eastAsia="en-US" w:bidi="en-US"/>
              </w:rPr>
              <w:t xml:space="preserve">i </w:t>
            </w:r>
            <w:r>
              <w:rPr>
                <w:rStyle w:val="CharStyle39"/>
              </w:rPr>
              <w:t>$7020131</w:t>
            </w:r>
            <w:r>
              <w:rPr>
                <w:rStyle w:val="CharStyle39"/>
                <w:lang w:val="en-US" w:eastAsia="en-US" w:bidi="en-US"/>
              </w:rPr>
              <w:t>105SHXM9244</w:t>
            </w:r>
          </w:p>
        </w:tc>
        <w:tc>
          <w:tcPr>
            <w:shd w:val="clear" w:color="auto" w:fill="FFFFFF"/>
            <w:tcBorders>
              <w:left w:val="single" w:sz="4"/>
              <w:top w:val="single" w:sz="4"/>
              <w:bottom w:val="single" w:sz="4"/>
            </w:tcBorders>
            <w:vAlign w:val="center"/>
          </w:tcPr>
          <w:p>
            <w:pPr>
              <w:pStyle w:val="Style21"/>
              <w:framePr w:w="9842" w:wrap="notBeside" w:vAnchor="text" w:hAnchor="text" w:xAlign="center" w:y="1"/>
              <w:widowControl w:val="0"/>
              <w:keepNext w:val="0"/>
              <w:keepLines w:val="0"/>
              <w:shd w:val="clear" w:color="auto" w:fill="auto"/>
              <w:bidi w:val="0"/>
              <w:jc w:val="left"/>
              <w:spacing w:before="0" w:after="0" w:line="90" w:lineRule="exact"/>
              <w:ind w:left="40" w:right="0" w:firstLine="0"/>
            </w:pPr>
            <w:r>
              <w:rPr>
                <w:rStyle w:val="CharStyle39"/>
              </w:rPr>
              <w:t>?5ОО240.ОО</w:t>
            </w:r>
          </w:p>
        </w:tc>
        <w:tc>
          <w:tcPr>
            <w:shd w:val="clear" w:color="auto" w:fill="FFFFFF"/>
            <w:tcBorders>
              <w:left w:val="single" w:sz="4"/>
              <w:top w:val="single" w:sz="4"/>
              <w:bottom w:val="single" w:sz="4"/>
            </w:tcBorders>
            <w:vAlign w:val="center"/>
          </w:tcPr>
          <w:p>
            <w:pPr>
              <w:pStyle w:val="Style21"/>
              <w:framePr w:w="9842" w:wrap="notBeside" w:vAnchor="text" w:hAnchor="text" w:xAlign="center" w:y="1"/>
              <w:widowControl w:val="0"/>
              <w:keepNext w:val="0"/>
              <w:keepLines w:val="0"/>
              <w:shd w:val="clear" w:color="auto" w:fill="auto"/>
              <w:bidi w:val="0"/>
              <w:jc w:val="left"/>
              <w:spacing w:before="0" w:after="0" w:line="100" w:lineRule="exact"/>
              <w:ind w:left="40" w:right="0" w:firstLine="0"/>
            </w:pPr>
            <w:r>
              <w:rPr>
                <w:rStyle w:val="CharStyle36"/>
              </w:rPr>
              <w:t>0.00</w:t>
            </w:r>
          </w:p>
        </w:tc>
        <w:tc>
          <w:tcPr>
            <w:shd w:val="clear" w:color="auto" w:fill="FFFFFF"/>
            <w:gridSpan w:val="2"/>
            <w:tcBorders>
              <w:left w:val="single" w:sz="4"/>
              <w:top w:val="single" w:sz="4"/>
              <w:bottom w:val="single" w:sz="4"/>
            </w:tcBorders>
            <w:vAlign w:val="center"/>
          </w:tcPr>
          <w:p>
            <w:pPr>
              <w:pStyle w:val="Style21"/>
              <w:framePr w:w="9842" w:wrap="notBeside" w:vAnchor="text" w:hAnchor="text" w:xAlign="center" w:y="1"/>
              <w:widowControl w:val="0"/>
              <w:keepNext w:val="0"/>
              <w:keepLines w:val="0"/>
              <w:shd w:val="clear" w:color="auto" w:fill="auto"/>
              <w:bidi w:val="0"/>
              <w:jc w:val="left"/>
              <w:spacing w:before="0" w:after="0" w:line="90" w:lineRule="exact"/>
              <w:ind w:left="40" w:right="0" w:firstLine="0"/>
            </w:pPr>
            <w:r>
              <w:rPr>
                <w:rStyle w:val="CharStyle39"/>
              </w:rPr>
              <w:t>7500240.00</w:t>
            </w:r>
          </w:p>
        </w:tc>
        <w:tc>
          <w:tcPr>
            <w:shd w:val="clear" w:color="auto" w:fill="FFFFFF"/>
            <w:tcBorders>
              <w:left w:val="single" w:sz="4"/>
              <w:top w:val="single" w:sz="4"/>
              <w:bottom w:val="single" w:sz="4"/>
            </w:tcBorders>
            <w:vAlign w:val="center"/>
          </w:tcPr>
          <w:p>
            <w:pPr>
              <w:pStyle w:val="Style21"/>
              <w:framePr w:w="9842" w:wrap="notBeside" w:vAnchor="text" w:hAnchor="text" w:xAlign="center" w:y="1"/>
              <w:widowControl w:val="0"/>
              <w:keepNext w:val="0"/>
              <w:keepLines w:val="0"/>
              <w:shd w:val="clear" w:color="auto" w:fill="auto"/>
              <w:bidi w:val="0"/>
              <w:jc w:val="left"/>
              <w:spacing w:before="0" w:after="0" w:line="100" w:lineRule="exact"/>
              <w:ind w:left="40" w:right="0" w:firstLine="0"/>
            </w:pPr>
            <w:r>
              <w:rPr>
                <w:rStyle w:val="CharStyle36"/>
              </w:rPr>
              <w:t>0.00</w:t>
            </w:r>
          </w:p>
        </w:tc>
        <w:tc>
          <w:tcPr>
            <w:shd w:val="clear" w:color="auto" w:fill="FFFFFF"/>
            <w:tcBorders>
              <w:left w:val="single" w:sz="4"/>
              <w:right w:val="single" w:sz="4"/>
              <w:top w:val="single" w:sz="4"/>
              <w:bottom w:val="single" w:sz="4"/>
            </w:tcBorders>
            <w:vAlign w:val="center"/>
          </w:tcPr>
          <w:p>
            <w:pPr>
              <w:pStyle w:val="Style21"/>
              <w:framePr w:w="9842" w:wrap="notBeside" w:vAnchor="text" w:hAnchor="text" w:xAlign="center" w:y="1"/>
              <w:widowControl w:val="0"/>
              <w:keepNext w:val="0"/>
              <w:keepLines w:val="0"/>
              <w:shd w:val="clear" w:color="auto" w:fill="auto"/>
              <w:bidi w:val="0"/>
              <w:jc w:val="left"/>
              <w:spacing w:before="0" w:after="0" w:line="100" w:lineRule="exact"/>
              <w:ind w:left="40" w:right="0" w:firstLine="0"/>
            </w:pPr>
            <w:r>
              <w:rPr>
                <w:rStyle w:val="CharStyle36"/>
              </w:rPr>
              <w:t>0.00</w:t>
            </w:r>
          </w:p>
        </w:tc>
      </w:tr>
    </w:tbl>
    <w:p>
      <w:pPr>
        <w:pStyle w:val="Style31"/>
        <w:framePr w:w="9842" w:wrap="notBeside" w:vAnchor="text" w:hAnchor="text" w:xAlign="center" w:y="1"/>
        <w:tabs>
          <w:tab w:leader="none" w:pos="4612" w:val="right"/>
          <w:tab w:leader="none" w:pos="4990" w:val="right"/>
        </w:tabs>
        <w:widowControl w:val="0"/>
        <w:keepNext w:val="0"/>
        <w:keepLines w:val="0"/>
        <w:shd w:val="clear" w:color="auto" w:fill="auto"/>
        <w:bidi w:val="0"/>
        <w:spacing w:before="0" w:after="0"/>
        <w:ind w:left="0" w:right="0" w:firstLine="0"/>
      </w:pPr>
      <w:r>
        <w:rPr>
          <w:rStyle w:val="CharStyle33"/>
          <w:lang w:val="ru-RU" w:eastAsia="ru-RU" w:bidi="ru-RU"/>
        </w:rPr>
        <w:t>1</w:t>
      </w:r>
      <w:r>
        <w:rPr>
          <w:rStyle w:val="CharStyle33"/>
        </w:rPr>
        <w:t>Ictohhhk</w:t>
      </w:r>
      <w:r>
        <w:rPr>
          <w:lang w:val="en-US" w:eastAsia="en-US" w:bidi="en-US"/>
          <w:w w:val="100"/>
          <w:spacing w:val="0"/>
          <w:color w:val="000000"/>
          <w:position w:val="0"/>
        </w:rPr>
        <w:t xml:space="preserve"> </w:t>
      </w:r>
      <w:r>
        <w:rPr>
          <w:lang w:val="ru-RU" w:eastAsia="ru-RU" w:bidi="ru-RU"/>
          <w:w w:val="100"/>
          <w:spacing w:val="0"/>
          <w:color w:val="000000"/>
          <w:position w:val="0"/>
        </w:rPr>
        <w:t>финансирования</w:t>
        <w:tab/>
        <w:t>Федеральной</w:t>
        <w:tab/>
        <w:t>бюджет</w:t>
      </w:r>
    </w:p>
    <w:p>
      <w:pPr>
        <w:pStyle w:val="Style34"/>
        <w:framePr w:w="9842"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Классификации товаров. работ к услуг</w:t>
      </w:r>
    </w:p>
    <w:p>
      <w:pPr>
        <w:widowControl w:val="0"/>
        <w:rPr>
          <w:sz w:val="2"/>
          <w:szCs w:val="2"/>
        </w:rPr>
      </w:pPr>
      <w:r>
        <w:br w:type="page"/>
      </w:r>
    </w:p>
    <w:p>
      <w:pPr>
        <w:widowControl w:val="0"/>
      </w:pPr>
      <w:r>
        <w:br w:type="page"/>
      </w:r>
    </w:p>
    <w:tbl>
      <w:tblPr>
        <w:tblOverlap w:val="never"/>
        <w:tblLayout w:type="fixed"/>
        <w:jc w:val="center"/>
      </w:tblPr>
      <w:tblGrid>
        <w:gridCol w:w="1847"/>
        <w:gridCol w:w="6505"/>
        <w:gridCol w:w="868"/>
        <w:gridCol w:w="875"/>
      </w:tblGrid>
      <w:tr>
        <w:trPr>
          <w:trHeight w:val="1141" w:hRule="exact"/>
        </w:trPr>
        <w:tc>
          <w:tcPr>
            <w:shd w:val="clear" w:color="auto" w:fill="FFFFFF"/>
            <w:tcBorders>
              <w:left w:val="single" w:sz="4"/>
              <w:top w:val="single" w:sz="4"/>
            </w:tcBorders>
            <w:vAlign w:val="top"/>
          </w:tcPr>
          <w:p>
            <w:pPr>
              <w:pStyle w:val="Style21"/>
              <w:framePr w:w="10094"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40"/>
              </w:rPr>
              <w:t>Наименование</w:t>
            </w:r>
          </w:p>
        </w:tc>
        <w:tc>
          <w:tcPr>
            <w:shd w:val="clear" w:color="auto" w:fill="FFFFFF"/>
            <w:tcBorders>
              <w:left w:val="single" w:sz="4"/>
              <w:top w:val="single" w:sz="4"/>
            </w:tcBorders>
            <w:vAlign w:val="top"/>
          </w:tcPr>
          <w:p>
            <w:pPr>
              <w:pStyle w:val="Style21"/>
              <w:framePr w:w="10094" w:wrap="notBeside" w:vAnchor="text" w:hAnchor="text" w:xAlign="center" w:y="1"/>
              <w:widowControl w:val="0"/>
              <w:keepNext w:val="0"/>
              <w:keepLines w:val="0"/>
              <w:shd w:val="clear" w:color="auto" w:fill="auto"/>
              <w:bidi w:val="0"/>
              <w:jc w:val="left"/>
              <w:spacing w:before="0" w:after="0" w:line="210" w:lineRule="exact"/>
              <w:ind w:left="840" w:right="0" w:firstLine="0"/>
            </w:pPr>
            <w:r>
              <w:rPr>
                <w:rStyle w:val="CharStyle40"/>
              </w:rPr>
              <w:t>Характеристика</w:t>
            </w:r>
          </w:p>
        </w:tc>
        <w:tc>
          <w:tcPr>
            <w:shd w:val="clear" w:color="auto" w:fill="FFFFFF"/>
            <w:tcBorders>
              <w:left w:val="single" w:sz="4"/>
              <w:top w:val="single" w:sz="4"/>
            </w:tcBorders>
            <w:vAlign w:val="top"/>
          </w:tcPr>
          <w:p>
            <w:pPr>
              <w:pStyle w:val="Style21"/>
              <w:framePr w:w="10094" w:wrap="notBeside" w:vAnchor="text" w:hAnchor="text" w:xAlign="center" w:y="1"/>
              <w:widowControl w:val="0"/>
              <w:keepNext w:val="0"/>
              <w:keepLines w:val="0"/>
              <w:shd w:val="clear" w:color="auto" w:fill="auto"/>
              <w:bidi w:val="0"/>
              <w:jc w:val="left"/>
              <w:spacing w:before="0" w:after="180" w:line="210" w:lineRule="exact"/>
              <w:ind w:left="120" w:right="0" w:firstLine="0"/>
            </w:pPr>
            <w:r>
              <w:rPr>
                <w:rStyle w:val="CharStyle40"/>
              </w:rPr>
              <w:t>Ед.</w:t>
            </w:r>
          </w:p>
          <w:p>
            <w:pPr>
              <w:pStyle w:val="Style21"/>
              <w:framePr w:w="10094" w:wrap="notBeside" w:vAnchor="text" w:hAnchor="text" w:xAlign="center" w:y="1"/>
              <w:widowControl w:val="0"/>
              <w:keepNext w:val="0"/>
              <w:keepLines w:val="0"/>
              <w:shd w:val="clear" w:color="auto" w:fill="auto"/>
              <w:bidi w:val="0"/>
              <w:jc w:val="left"/>
              <w:spacing w:before="180" w:after="0" w:line="210" w:lineRule="exact"/>
              <w:ind w:left="120" w:right="0" w:firstLine="0"/>
            </w:pPr>
            <w:r>
              <w:rPr>
                <w:rStyle w:val="CharStyle40"/>
              </w:rPr>
              <w:t>изм.</w:t>
            </w:r>
          </w:p>
        </w:tc>
        <w:tc>
          <w:tcPr>
            <w:shd w:val="clear" w:color="auto" w:fill="FFFFFF"/>
            <w:tcBorders>
              <w:left w:val="single" w:sz="4"/>
              <w:right w:val="single" w:sz="4"/>
              <w:top w:val="single" w:sz="4"/>
            </w:tcBorders>
            <w:vAlign w:val="top"/>
          </w:tcPr>
          <w:p>
            <w:pPr>
              <w:pStyle w:val="Style21"/>
              <w:framePr w:w="10094" w:wrap="notBeside" w:vAnchor="text" w:hAnchor="text" w:xAlign="center" w:y="1"/>
              <w:widowControl w:val="0"/>
              <w:keepNext w:val="0"/>
              <w:keepLines w:val="0"/>
              <w:shd w:val="clear" w:color="auto" w:fill="auto"/>
              <w:bidi w:val="0"/>
              <w:jc w:val="left"/>
              <w:spacing w:before="0" w:after="180" w:line="210" w:lineRule="exact"/>
              <w:ind w:left="120" w:right="0" w:firstLine="0"/>
            </w:pPr>
            <w:r>
              <w:rPr>
                <w:rStyle w:val="CharStyle40"/>
              </w:rPr>
              <w:t>Кол-</w:t>
            </w:r>
          </w:p>
          <w:p>
            <w:pPr>
              <w:pStyle w:val="Style21"/>
              <w:framePr w:w="10094" w:wrap="notBeside" w:vAnchor="text" w:hAnchor="text" w:xAlign="center" w:y="1"/>
              <w:widowControl w:val="0"/>
              <w:keepNext w:val="0"/>
              <w:keepLines w:val="0"/>
              <w:shd w:val="clear" w:color="auto" w:fill="auto"/>
              <w:bidi w:val="0"/>
              <w:jc w:val="left"/>
              <w:spacing w:before="180" w:after="0" w:line="210" w:lineRule="exact"/>
              <w:ind w:left="120" w:right="0" w:firstLine="0"/>
            </w:pPr>
            <w:r>
              <w:rPr>
                <w:rStyle w:val="CharStyle40"/>
              </w:rPr>
              <w:t>во</w:t>
            </w:r>
          </w:p>
        </w:tc>
      </w:tr>
      <w:tr>
        <w:trPr>
          <w:trHeight w:val="6142" w:hRule="exact"/>
        </w:trPr>
        <w:tc>
          <w:tcPr>
            <w:shd w:val="clear" w:color="auto" w:fill="FFFFFF"/>
            <w:tcBorders>
              <w:left w:val="single" w:sz="4"/>
              <w:top w:val="single" w:sz="4"/>
              <w:bottom w:val="single" w:sz="4"/>
            </w:tcBorders>
            <w:vAlign w:val="top"/>
          </w:tcPr>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Услуги частной охраны</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(Патрулирован</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ие)</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Код</w:t>
            </w:r>
          </w:p>
          <w:p>
            <w:pPr>
              <w:pStyle w:val="Style21"/>
              <w:framePr w:w="10094" w:wrap="notBeside" w:vAnchor="text" w:hAnchor="text" w:xAlign="center" w:y="1"/>
              <w:widowControl w:val="0"/>
              <w:keepNext w:val="0"/>
              <w:keepLines w:val="0"/>
              <w:shd w:val="clear" w:color="auto" w:fill="auto"/>
              <w:bidi w:val="0"/>
              <w:jc w:val="left"/>
              <w:spacing w:before="0" w:after="240" w:line="277" w:lineRule="exact"/>
              <w:ind w:left="120" w:right="0" w:firstLine="0"/>
            </w:pPr>
            <w:r>
              <w:rPr>
                <w:rStyle w:val="CharStyle40"/>
              </w:rPr>
              <w:t>классификации по КТРУ: 80.10.12.000- 00000013;</w:t>
            </w:r>
          </w:p>
          <w:p>
            <w:pPr>
              <w:pStyle w:val="Style21"/>
              <w:framePr w:w="10094" w:wrap="notBeside" w:vAnchor="text" w:hAnchor="text" w:xAlign="center" w:y="1"/>
              <w:widowControl w:val="0"/>
              <w:keepNext w:val="0"/>
              <w:keepLines w:val="0"/>
              <w:shd w:val="clear" w:color="auto" w:fill="auto"/>
              <w:bidi w:val="0"/>
              <w:jc w:val="left"/>
              <w:spacing w:before="240" w:after="0" w:line="274" w:lineRule="exact"/>
              <w:ind w:left="120" w:right="0" w:firstLine="0"/>
            </w:pPr>
            <w:r>
              <w:rPr>
                <w:rStyle w:val="CharStyle40"/>
              </w:rPr>
              <w:t>Услуги частной охраны (Выставление поста охраны ) Код</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классификации по КТРУ: 80.10.12.000- 00000003.</w:t>
            </w:r>
          </w:p>
        </w:tc>
        <w:tc>
          <w:tcPr>
            <w:shd w:val="clear" w:color="auto" w:fill="FFFFFF"/>
            <w:tcBorders>
              <w:left w:val="single" w:sz="4"/>
              <w:top w:val="single" w:sz="4"/>
              <w:bottom w:val="single" w:sz="4"/>
            </w:tcBorders>
            <w:vAlign w:val="bottom"/>
          </w:tcPr>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Использование мобильной группы - да</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Использование специальных средств - да</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Наличие оружия у сотрудников мобильной группы-да</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Наличие оружия у сотрудников охраны - нет</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Вид услуги по охране: Охрана объектов, а также</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обеспечение внутриобъектового режима на объектах, в</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отношении которых установлены обязательные для</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выполнения требования к антитеррористической</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защищенности</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Вид услуги по охране: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 Вид услуги по охране: 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pPr>
              <w:pStyle w:val="Style21"/>
              <w:framePr w:w="10094" w:wrap="notBeside" w:vAnchor="text" w:hAnchor="text" w:xAlign="center" w:y="1"/>
              <w:widowControl w:val="0"/>
              <w:keepNext w:val="0"/>
              <w:keepLines w:val="0"/>
              <w:shd w:val="clear" w:color="auto" w:fill="auto"/>
              <w:bidi w:val="0"/>
              <w:jc w:val="both"/>
              <w:spacing w:before="0" w:after="0" w:line="277" w:lineRule="exact"/>
              <w:ind w:left="0" w:right="0" w:firstLine="0"/>
            </w:pPr>
            <w:r>
              <w:rPr>
                <w:rStyle w:val="CharStyle40"/>
              </w:rPr>
              <w:t>Вид услуги по охране: 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shd w:val="clear" w:color="auto" w:fill="FFFFFF"/>
            <w:tcBorders>
              <w:left w:val="single" w:sz="4"/>
              <w:top w:val="single" w:sz="4"/>
              <w:bottom w:val="single" w:sz="4"/>
            </w:tcBorders>
            <w:vAlign w:val="top"/>
          </w:tcPr>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Челов</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еко-</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час</w:t>
            </w:r>
          </w:p>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(чел.ч</w:t>
            </w:r>
          </w:p>
          <w:p>
            <w:pPr>
              <w:pStyle w:val="Style21"/>
              <w:framePr w:w="10094"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40"/>
              </w:rPr>
              <w:t>)</w:t>
            </w:r>
          </w:p>
        </w:tc>
        <w:tc>
          <w:tcPr>
            <w:shd w:val="clear" w:color="auto" w:fill="FFFFFF"/>
            <w:tcBorders>
              <w:left w:val="single" w:sz="4"/>
              <w:right w:val="single" w:sz="4"/>
              <w:top w:val="single" w:sz="4"/>
              <w:bottom w:val="single" w:sz="4"/>
            </w:tcBorders>
            <w:vAlign w:val="top"/>
          </w:tcPr>
          <w:p>
            <w:pPr>
              <w:pStyle w:val="Style21"/>
              <w:framePr w:w="10094"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40"/>
              </w:rPr>
              <w:t>70 08 0,00</w:t>
            </w:r>
          </w:p>
        </w:tc>
      </w:tr>
    </w:tbl>
    <w:p>
      <w:pPr>
        <w:widowControl w:val="0"/>
        <w:rPr>
          <w:sz w:val="2"/>
          <w:szCs w:val="2"/>
        </w:rPr>
      </w:pPr>
    </w:p>
    <w:p>
      <w:pPr>
        <w:pStyle w:val="Style21"/>
        <w:widowControl w:val="0"/>
        <w:keepNext w:val="0"/>
        <w:keepLines w:val="0"/>
        <w:shd w:val="clear" w:color="auto" w:fill="auto"/>
        <w:bidi w:val="0"/>
        <w:jc w:val="both"/>
        <w:spacing w:before="288" w:after="0"/>
        <w:ind w:left="20" w:right="20" w:firstLine="700"/>
      </w:pPr>
      <w:r>
        <w:rPr>
          <w:lang w:val="ru-RU" w:eastAsia="ru-RU" w:bidi="ru-RU"/>
          <w:w w:val="100"/>
          <w:color w:val="000000"/>
          <w:position w:val="0"/>
        </w:rPr>
        <w:t>Таким образом, заказчиком в аукционной документации установлены характеристики, которые являются обязательными для применения в соответствии с КТРУ.</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Вместе с тем, Комиссия приходит к выводу, что установленные заказчиком в техническом задании на оказание услуг охраны требования к обеспечению качества предоставляемых </w:t>
      </w:r>
      <w:r>
        <w:rPr>
          <w:rStyle w:val="CharStyle28"/>
        </w:rPr>
        <w:t>исполнителем</w:t>
      </w:r>
      <w:r>
        <w:rPr>
          <w:lang w:val="ru-RU" w:eastAsia="ru-RU" w:bidi="ru-RU"/>
          <w:w w:val="100"/>
          <w:color w:val="000000"/>
          <w:position w:val="0"/>
        </w:rPr>
        <w:t xml:space="preserve"> услуг, обязанности </w:t>
      </w:r>
      <w:r>
        <w:rPr>
          <w:rStyle w:val="CharStyle28"/>
        </w:rPr>
        <w:t>исполнителя</w:t>
      </w:r>
      <w:r>
        <w:rPr>
          <w:lang w:val="ru-RU" w:eastAsia="ru-RU" w:bidi="ru-RU"/>
          <w:w w:val="100"/>
          <w:color w:val="000000"/>
          <w:position w:val="0"/>
        </w:rPr>
        <w:t xml:space="preserve">, требования по организации </w:t>
      </w:r>
      <w:r>
        <w:rPr>
          <w:rStyle w:val="CharStyle28"/>
        </w:rPr>
        <w:t>исполнителем</w:t>
      </w:r>
      <w:r>
        <w:rPr>
          <w:lang w:val="ru-RU" w:eastAsia="ru-RU" w:bidi="ru-RU"/>
          <w:w w:val="100"/>
          <w:color w:val="000000"/>
          <w:position w:val="0"/>
        </w:rPr>
        <w:t xml:space="preserve"> системы учета и контроля, цели и задачи оказываемых услуг не являются дополнительными потребительскими свойствами услуг в соответствии с положениями статьи 33 Федерального закона, а являются требованиями к исполнителю. В рассматриваемом случае пункт 5 Правил не подлежит применению.</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Учитывая вышеизложенное, Комиссия Татарстанского УФАС России приходит к выводу о необоснованности доводов заявителя.</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Кроме того, заявитель на заседание Комиссии не явился, доказательств, подтверждающих обоснованность своих доводов не представил.</w:t>
      </w:r>
    </w:p>
    <w:p>
      <w:pPr>
        <w:pStyle w:val="Style29"/>
        <w:numPr>
          <w:ilvl w:val="0"/>
          <w:numId w:val="1"/>
        </w:numPr>
        <w:tabs>
          <w:tab w:leader="none" w:pos="1028" w:val="left"/>
        </w:tabs>
        <w:widowControl w:val="0"/>
        <w:keepNext w:val="0"/>
        <w:keepLines w:val="0"/>
        <w:shd w:val="clear" w:color="auto" w:fill="auto"/>
        <w:bidi w:val="0"/>
        <w:spacing w:before="0" w:after="0"/>
        <w:ind w:left="20" w:right="20"/>
      </w:pPr>
      <w:r>
        <w:rPr>
          <w:lang w:val="ru-RU" w:eastAsia="ru-RU" w:bidi="ru-RU"/>
          <w:w w:val="100"/>
          <w:spacing w:val="0"/>
          <w:color w:val="000000"/>
          <w:position w:val="0"/>
        </w:rPr>
        <w:t>1. Относительно довода заявителя об установлении заказчиком неправомерных требований к участникам закупки.</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Пунктом 2 части 1 статьи 87 Закона о контрактной системе установлено, что документация о закрытом аукционе должна содержать требования к содержанию и составу заявок на участие в закрытом аукционе в соответствии с частью 2 статьи 88 настоящего Федерального закона и инструкция по ее заполнению.</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Согласно пункту 3 части 2 статьи 88 Закона о контрактной системе заявка на участие в закрытом аукционе должна содержать документы, подтверждающие соответствие участника закрытого аукциона требованиям, установленным документацией о закрытом аукционе.</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техническим заданием на оказание услуг охраны заказчиком установлены следующие требования.</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Исполнитель обязуется на весь срок оказания Услуг иметь действующий договор по страхованию ответственности за вред, причинённый третьим лицам в ходе оказания Услуг по охране.</w:t>
      </w:r>
    </w:p>
    <w:p>
      <w:pPr>
        <w:pStyle w:val="Style21"/>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Обеспечить:</w:t>
      </w:r>
    </w:p>
    <w:p>
      <w:pPr>
        <w:pStyle w:val="Style21"/>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охранников, заступающих на пост, прививкой (вакцинацией) от ковида, специальными средствами, работоспособным электрическим фонарем, средствами оперативной радиосвязи (мобильной связи), обеспечивающей бесперебойную связь на территории и в помещениях охраняемого объекта между всеми сотрудниками дежурной смены, оперативными дежурными службами территориальных подразделений МВД России, ответственным лицом охраняемого объекта по вопросам обеспечения безопасности, а также сертифицированным средством индивидуальной защиты органов дыхания, из расчета, указанного в таблице.</w:t>
      </w:r>
    </w:p>
    <w:p>
      <w:pPr>
        <w:pStyle w:val="Style21"/>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соответствие охранников, заступающих на посты, профессиональному стандарту «Работник по обеспечению охраны образовательных организаций», утвержденному приказом Министерства труда и социальной защиты Российской Федерации от 11 декабря 2015 г. № 101 Он.</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Каждый работник Исполнителя при оказании услуг на Объектах охраны обязан иметь служебное удостоверение установленного образца, разрешающее охранную деятельность.</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Наличие у Исполнителя лицензий, разрешений, документов о сертификации, действующих на протяжении всего периода оказания Услуг, необходимых для их оказания, в том числе:</w:t>
      </w:r>
    </w:p>
    <w:p>
      <w:pPr>
        <w:pStyle w:val="Style21"/>
        <w:widowControl w:val="0"/>
        <w:keepNext w:val="0"/>
        <w:keepLines w:val="0"/>
        <w:shd w:val="clear" w:color="auto" w:fill="auto"/>
        <w:bidi w:val="0"/>
        <w:jc w:val="both"/>
        <w:spacing w:before="0" w:after="0"/>
        <w:ind w:left="20" w:right="20" w:firstLine="1100"/>
      </w:pPr>
      <w:r>
        <w:rPr>
          <w:lang w:val="ru-RU" w:eastAsia="ru-RU" w:bidi="ru-RU"/>
          <w:w w:val="100"/>
          <w:color w:val="000000"/>
          <w:position w:val="0"/>
        </w:rPr>
        <w:t>иметь справку об отсутствии судимости или факта уголовного преследования, либо о прекращении уголовного преследования по реабилитирующим основаниям согласно ст. 351.1 ТК РФ;</w:t>
      </w:r>
    </w:p>
    <w:p>
      <w:pPr>
        <w:pStyle w:val="Style21"/>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быть одетым в служебную форму по сезону установленного образца, согласованного с Заказчиком, иметь опрятный внешний вид;</w:t>
      </w:r>
    </w:p>
    <w:p>
      <w:pPr>
        <w:pStyle w:val="Style21"/>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применять специальные средства в соответствии требованиям Закона Российской Федерации от 11 марта 1992 г. № 2487-1 «О частной детективной и охранной деятельности в Российской Федерации» или Федерального закона от 14 апреля 1999 г. № 77-ФЗ «О ведомственной охране»;</w:t>
      </w:r>
    </w:p>
    <w:p>
      <w:pPr>
        <w:pStyle w:val="Style21"/>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обеспечить выполнение пропускного и внутри объектового режима на охраняемом объекте, не допускать нахождения посторонних граждан и бездомных животных на его территории, пресекать попытки проникновения посторонних лиц на охраняемый объект и нарушения общественного порядка на охраняемом объекте;</w:t>
      </w:r>
    </w:p>
    <w:p>
      <w:pPr>
        <w:pStyle w:val="Style21"/>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Наличие у охранников:</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медицинского заключения </w:t>
      </w:r>
      <w:r>
        <w:rPr>
          <w:lang w:val="en-US" w:eastAsia="en-US" w:bidi="en-US"/>
          <w:w w:val="100"/>
          <w:color w:val="000000"/>
          <w:position w:val="0"/>
        </w:rPr>
        <w:t>(«QR</w:t>
      </w:r>
      <w:r>
        <w:rPr>
          <w:lang w:val="ru-RU" w:eastAsia="ru-RU" w:bidi="ru-RU"/>
          <w:w w:val="100"/>
          <w:color w:val="000000"/>
          <w:position w:val="0"/>
        </w:rPr>
        <w:t>-код», ПЦР-тест) антитела, по результатам освидетельствования об отсутствии противопоказаний, препятствующих исполнению обязанностей частного охранника;</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личной медицинской книжки с отметками </w:t>
      </w:r>
      <w:r>
        <w:rPr>
          <w:lang w:val="en-US" w:eastAsia="en-US" w:bidi="en-US"/>
          <w:w w:val="100"/>
          <w:color w:val="000000"/>
          <w:position w:val="0"/>
        </w:rPr>
        <w:t>(«QR</w:t>
      </w:r>
      <w:r>
        <w:rPr>
          <w:lang w:val="ru-RU" w:eastAsia="ru-RU" w:bidi="ru-RU"/>
          <w:w w:val="100"/>
          <w:color w:val="000000"/>
          <w:position w:val="0"/>
        </w:rPr>
        <w:t>-код», ПЦР-тест) антитела, прохождении предварительных и периодических медицинских осмотров (обследований) работников, выполняющих любые виды работ в образовательных организациях, указанных в нормативных актах федерального органа исполнительной власти, осуществляющему функции по выработке государственной политики и нормативно-правового регулирования в сфере здравоохранения;</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удостоверений частного охранника и свидетельства о присвоении квалификации не ниже 4-го разряда или служебного удостоверения (для военизированных и сторожевых подразделений организации, подведомственной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вневедомственной охраны, осуществляющие на договорной основе охрану объектов всех форм собственности независимо от ведомственной принадлежности) (далее — удостоверение охранника), действующих на протяжении всего периода оказания Услуг.</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Сотрудники из числа вооружённой группы в соответствии со ст. 12 Федерального закона от 13 декабря 1996 года № 150-ФЗ «Об оружии» обязаны проходить периодическую проверку на пригодность к действиям в условиях, связанных с применением огнестрельного оружия, и иметь действующее разрешение органов внутренних дел на хранение и ношение служебного оружия, а также ежегодно проходить химико-токсикологические исследования наличия в организме человека наркотических средств, психотропных веществ и их метаболитов.</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Своевременно проходить периодические проверки на пригодность к действиям в условиях, связанных с применением специальных средств, предусмотренных для охранников не ниже 4-го разряда в части пригодности к действиям в условиях, связанных с применением специальных средств.</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Каждый охранник, заступающий на пост, должен иметь при себе удостоверение охранника, быть в специальной форменной одежде.</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Согласно доводам заявителя, положения Закона РФ от 1 1.03.1992 </w:t>
      </w:r>
      <w:r>
        <w:rPr>
          <w:lang w:val="en-US" w:eastAsia="en-US" w:bidi="en-US"/>
          <w:w w:val="100"/>
          <w:color w:val="000000"/>
          <w:position w:val="0"/>
        </w:rPr>
        <w:t xml:space="preserve">N </w:t>
      </w:r>
      <w:r>
        <w:rPr>
          <w:lang w:val="ru-RU" w:eastAsia="ru-RU" w:bidi="ru-RU"/>
          <w:w w:val="100"/>
          <w:color w:val="000000"/>
          <w:position w:val="0"/>
        </w:rPr>
        <w:t>2487-1 «О частной детективной и охранной деятельности в Российской Федерации» не определяют требований в отношении частных охранников при осуществлении ими трудовой функции на объекте охраны, вышеустановленные заказчиком требования являются неправомерными и не предусмотрены действующим законодательством.</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Согласно пояснениям заказчика, установленные в техническом задании требования к исполнителю услуг </w:t>
      </w:r>
      <w:r>
        <w:rPr>
          <w:rStyle w:val="CharStyle28"/>
        </w:rPr>
        <w:t>не противоречат действующему законодательству</w:t>
      </w:r>
      <w:r>
        <w:rPr>
          <w:lang w:val="ru-RU" w:eastAsia="ru-RU" w:bidi="ru-RU"/>
          <w:w w:val="100"/>
          <w:color w:val="000000"/>
          <w:position w:val="0"/>
        </w:rPr>
        <w:t>.</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На основании пункта 1 постановления главного государственного санитарного врача по Республике Татарстан от 11 октября 2021 года № 7 «О проведении обязательной вакцинации против </w:t>
      </w:r>
      <w:r>
        <w:rPr>
          <w:lang w:val="en-US" w:eastAsia="en-US" w:bidi="en-US"/>
          <w:w w:val="100"/>
          <w:color w:val="000000"/>
          <w:position w:val="0"/>
        </w:rPr>
        <w:t xml:space="preserve">COVID-19 </w:t>
      </w:r>
      <w:r>
        <w:rPr>
          <w:lang w:val="ru-RU" w:eastAsia="ru-RU" w:bidi="ru-RU"/>
          <w:w w:val="100"/>
          <w:color w:val="000000"/>
          <w:position w:val="0"/>
        </w:rPr>
        <w:t>отдельным категориям граждан по эпидемическим показаниям в Республике Татарстан» необходимо обеспечить проведение профилактических прививок по эпидемическим показаниям против</w:t>
      </w:r>
    </w:p>
    <w:p>
      <w:pPr>
        <w:pStyle w:val="Style21"/>
        <w:widowControl w:val="0"/>
        <w:keepNext w:val="0"/>
        <w:keepLines w:val="0"/>
        <w:shd w:val="clear" w:color="auto" w:fill="auto"/>
        <w:bidi w:val="0"/>
        <w:jc w:val="both"/>
        <w:spacing w:before="0" w:after="0" w:line="338" w:lineRule="exact"/>
        <w:ind w:left="20" w:right="20" w:firstLine="0"/>
      </w:pPr>
      <w:r>
        <w:rPr>
          <w:lang w:val="en-US" w:eastAsia="en-US" w:bidi="en-US"/>
          <w:w w:val="100"/>
          <w:color w:val="000000"/>
          <w:position w:val="0"/>
        </w:rPr>
        <w:t xml:space="preserve">C0VID-19 </w:t>
      </w:r>
      <w:r>
        <w:rPr>
          <w:lang w:val="ru-RU" w:eastAsia="ru-RU" w:bidi="ru-RU"/>
          <w:w w:val="100"/>
          <w:color w:val="000000"/>
          <w:position w:val="0"/>
        </w:rPr>
        <w:t>с охватом не менее 80% с учетом переболевших за последние 6 месяцев, в том числе работникам услуг охранных предприятий.</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Требование о соответствии охранников, заступающих на посты, профессиональному стандарту «Работник по обеспечению охраны образовательных организаций», изложено в приказе Министерства труда и социальной защиты Российской Федерации от 11 декабря 2015 г. № 101 Он.</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Требование о наличии справки об отсутствии судимости или факта уголовного преследования, либо о прекращении уголовного преследования по реабилитирующим основаниям изложено в абз.7 ч.1 ст.65, ст. 351.1 ТК РФ.</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Согласование служебной формы одежды охранников не противоречат обеспечению требованию Закона РФ от 11.03.1992 г. №2487-1 «О частной детективной и охранной деятельности В Российской Федерации».</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Согласно Федерального закона от 27.12.2018 года №498-ФЗ «Об ответственном обращении с животными и о внесении изменений в отдельные законодательные акты РФ», ст. 18 организация мероприятий при осуществлении деятельности по обращению с животными без владельцев п.4 физические и юридические лица обязаны сообщать о нахождении животных без владельцев, не имеющих не снимаемых и несмываемых меток на территориях или объектах находящихся в собственности или пользовании таких лиц. Таким образом, исполнитель обязан сообщать о нахождении животных, а не отлавливать их.</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Сотрудники из числа вооружённой группы обязаны ежегодно проходить химико-токсикологические исследования наличия в организме человека наркотических средств, психотропных веществ и их метаболитов на основании приказа Министерства здравоохранения РФ от 26 ноября 2020 г. № 1252н «Об утверждении Порядка проведения медицинского освидетельствования на наличие медицинских противопоказаний к исполнению обязанностей частного охранника, включающего в себя химико-токсикологические исследования наличия в организме человека наркотических средств, психотропных веществ и их метаболитов, формы медицинского заключения об отсутствии медицинских противопоказаний к исполнению обязанностей частного охранника, формы журнала регистрации выданных медицинских заключений об отсутствии медицинских противопоказаний к исполнению обязанностей частного охранника».</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Вместе с тем, изучив установленные заказчиком в техническом задании требования к исполнителю охранных услуг, Комиссия Татарстанского УФАС России приходит к выводу, что вышеперечисленные требования </w:t>
      </w:r>
      <w:r>
        <w:rPr>
          <w:rStyle w:val="CharStyle28"/>
        </w:rPr>
        <w:t>не противоречат</w:t>
      </w:r>
      <w:r>
        <w:rPr>
          <w:lang w:val="ru-RU" w:eastAsia="ru-RU" w:bidi="ru-RU"/>
          <w:w w:val="100"/>
          <w:color w:val="000000"/>
          <w:position w:val="0"/>
        </w:rPr>
        <w:t xml:space="preserve"> </w:t>
      </w:r>
      <w:r>
        <w:rPr>
          <w:rStyle w:val="CharStyle28"/>
        </w:rPr>
        <w:t>действующему законодательству, запрет на их установление нормативно-правовыми</w:t>
      </w:r>
      <w:r>
        <w:rPr>
          <w:lang w:val="ru-RU" w:eastAsia="ru-RU" w:bidi="ru-RU"/>
          <w:w w:val="100"/>
          <w:color w:val="000000"/>
          <w:position w:val="0"/>
        </w:rPr>
        <w:t xml:space="preserve"> </w:t>
      </w:r>
      <w:r>
        <w:rPr>
          <w:rStyle w:val="CharStyle28"/>
        </w:rPr>
        <w:t>актами не предусмотрен.</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Кроме того, установленные требования предъявляются к исполнителю услуг, а не к участнику закупки при подаче заявки на участие. Следовательно, на этапе формирования заявки заказчик не устанавливает дополнительных требований к предоставлению документов, подтверждающих соответствии вышеуказанным требованиям.</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пунктом 4 статьи 3 Закона о контрактной системе участником закупки может быть любое юридическое лицо независимо от его организационно-правовой формы.</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Отсутствие у лиц, заинтересованных в заключении контракта, возможности оказать услуги, соответствующие потребностям заказчика, не свидетельствует о нарушении заказчиком прав этих лиц, а также ограничении заказчиком числа участников торгов.</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журналом поданных заявок на участие в закрытом аукционе было подано 4 заявки, все заявки признаны соответствующими требованиям, установленным заказчиком в документации. Участники выразили свое согласие на оказание услуг на условиях, предусмотренных аукционной документации. Ограничения заказчиком конкуренции при проведении обжалуемой закупки Комиссией Татарстанского УФАС России не выявлено.</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Учитывая вышеизложенные обстоятельства доводы заявителя признаны необоснованными.</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Кроме того, заявитель на заседание Комиссии не явился, доказательств, подтверждающих обоснованность своих доводов, а также ограничения конкуренции при проведении закупки не представил.</w:t>
      </w:r>
    </w:p>
    <w:p>
      <w:pPr>
        <w:pStyle w:val="Style29"/>
        <w:widowControl w:val="0"/>
        <w:keepNext w:val="0"/>
        <w:keepLines w:val="0"/>
        <w:shd w:val="clear" w:color="auto" w:fill="auto"/>
        <w:bidi w:val="0"/>
        <w:spacing w:before="0" w:after="0"/>
        <w:ind w:left="20" w:right="20"/>
      </w:pPr>
      <w:r>
        <w:rPr>
          <w:lang w:val="ru-RU" w:eastAsia="ru-RU" w:bidi="ru-RU"/>
          <w:w w:val="100"/>
          <w:spacing w:val="0"/>
          <w:color w:val="000000"/>
          <w:position w:val="0"/>
        </w:rPr>
        <w:t>2.2. Относительно довода заявителя об установлении заказчиком неправомерного размера штрафа в техническом задании.</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Частью 4 статьи 34 Закона о контрактной системе установлено, что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21"/>
        <w:tabs>
          <w:tab w:leader="none" w:pos="3723" w:val="left"/>
        </w:tabs>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Постановлением Правительства РФ от 30.08.2017 </w:t>
      </w:r>
      <w:r>
        <w:rPr>
          <w:lang w:val="en-US" w:eastAsia="en-US" w:bidi="en-US"/>
          <w:w w:val="100"/>
          <w:color w:val="000000"/>
          <w:position w:val="0"/>
        </w:rPr>
        <w:t xml:space="preserve">N </w:t>
      </w:r>
      <w:r>
        <w:rPr>
          <w:lang w:val="ru-RU" w:eastAsia="ru-RU" w:bidi="ru-RU"/>
          <w:w w:val="100"/>
          <w:color w:val="000000"/>
          <w:position w:val="0"/>
        </w:rPr>
        <w:t>1042 утверждены Правила определения размера штрафа, начисляемого в случае ненадлежащего исполнения заказчиком, неисполнения</w:t>
        <w:tab/>
        <w:t>или ненадлежащего исполнения поставщиком</w:t>
      </w:r>
    </w:p>
    <w:p>
      <w:pPr>
        <w:pStyle w:val="Style21"/>
        <w:widowControl w:val="0"/>
        <w:keepNext w:val="0"/>
        <w:keepLines w:val="0"/>
        <w:shd w:val="clear" w:color="auto" w:fill="auto"/>
        <w:bidi w:val="0"/>
        <w:jc w:val="both"/>
        <w:spacing w:before="0" w:after="0"/>
        <w:ind w:left="20" w:right="0" w:firstLine="0"/>
      </w:pPr>
      <w:r>
        <w:rPr>
          <w:lang w:val="ru-RU" w:eastAsia="ru-RU" w:bidi="ru-RU"/>
          <w:w w:val="100"/>
          <w:color w:val="000000"/>
          <w:position w:val="0"/>
        </w:rPr>
        <w:t>(подрядчиком, исполнителем) обязательств, предусмотренных контрактом.</w:t>
      </w:r>
    </w:p>
    <w:p>
      <w:pPr>
        <w:pStyle w:val="Style21"/>
        <w:tabs>
          <w:tab w:leader="none" w:pos="3723" w:val="left"/>
        </w:tabs>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Разделом 7 проекта</w:t>
        <w:tab/>
        <w:t>контракта заказчиком установлены условия об</w:t>
      </w:r>
    </w:p>
    <w:p>
      <w:pPr>
        <w:pStyle w:val="Style21"/>
        <w:widowControl w:val="0"/>
        <w:keepNext w:val="0"/>
        <w:keepLines w:val="0"/>
        <w:shd w:val="clear" w:color="auto" w:fill="auto"/>
        <w:bidi w:val="0"/>
        <w:jc w:val="both"/>
        <w:spacing w:before="0" w:after="0"/>
        <w:ind w:left="20" w:right="0" w:firstLine="0"/>
      </w:pPr>
      <w:r>
        <w:rPr>
          <w:lang w:val="ru-RU" w:eastAsia="ru-RU" w:bidi="ru-RU"/>
          <w:w w:val="100"/>
          <w:color w:val="000000"/>
          <w:position w:val="0"/>
        </w:rPr>
        <w:t>ответственности сторон.</w:t>
      </w:r>
    </w:p>
    <w:p>
      <w:pPr>
        <w:pStyle w:val="Style21"/>
        <w:tabs>
          <w:tab w:leader="none" w:pos="3723" w:val="left"/>
        </w:tabs>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Согласно пункту 7.6 проекта контракта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w:t>
        <w:tab/>
        <w:t>предусмотренных пунктами 7.7—7.9 настоящего</w:t>
      </w:r>
    </w:p>
    <w:p>
      <w:pPr>
        <w:pStyle w:val="Style21"/>
        <w:widowControl w:val="0"/>
        <w:keepNext w:val="0"/>
        <w:keepLines w:val="0"/>
        <w:shd w:val="clear" w:color="auto" w:fill="auto"/>
        <w:bidi w:val="0"/>
        <w:jc w:val="both"/>
        <w:spacing w:before="0" w:after="0"/>
        <w:ind w:left="20" w:right="0" w:firstLine="0"/>
      </w:pPr>
      <w:r>
        <w:rPr>
          <w:lang w:val="ru-RU" w:eastAsia="ru-RU" w:bidi="ru-RU"/>
          <w:w w:val="100"/>
          <w:color w:val="000000"/>
          <w:position w:val="0"/>
        </w:rPr>
        <w:t>контракта):</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а) 10 процентов цены контракта (этапа) в случае, если цена контракта (этапа) не превышает 3 млн рублей;</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и) 0,1 процента цены контракта (этапа) в случае, если цена контракта (этапа) превышает 10 млрд рублей.</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Пунктом 7.8 проекта контракта установлено, что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pPr>
        <w:pStyle w:val="Style21"/>
        <w:widowControl w:val="0"/>
        <w:keepNext w:val="0"/>
        <w:keepLines w:val="0"/>
        <w:shd w:val="clear" w:color="auto" w:fill="auto"/>
        <w:bidi w:val="0"/>
        <w:jc w:val="both"/>
        <w:spacing w:before="0" w:after="0" w:line="356" w:lineRule="exact"/>
        <w:ind w:left="20" w:right="20" w:firstLine="700"/>
      </w:pPr>
      <w:r>
        <w:rPr>
          <w:lang w:val="ru-RU" w:eastAsia="ru-RU" w:bidi="ru-RU"/>
          <w:w w:val="100"/>
          <w:color w:val="000000"/>
          <w:position w:val="0"/>
        </w:rPr>
        <w:t>а) в случае если цена контракта не превышает начальную (максимальную) цену контракта:</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10 процентов начальной (максимальной) цены контракта, если цена контракта не превышает 3 млн рублей;</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5 процентов начальной (максимальной) цены контракта, если цена контракта составляет от 3 млн рублей до 50 млн рублей (включительно);</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1 процент начальной (максимальной) цены контракта, если цена контракта составляет от 50 млн рублей до 100 млн рублей (включительно);</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б) в случае если цена контракта превышает начальную (максимальную) цену контракта:</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10 процентов цены контракта, если цена контракта не превышает 3 млн рублей;</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5 процентов цены контракта, если цена контракта составляет от 3 млн рублей до 50 млн рублей (включительно);</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1 процент цены контракта, если цена контракта составляет от 50 млн рублей до 100 млн рублей (включительно).</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пунктом 7.9 проекта контракта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pPr>
        <w:pStyle w:val="Style21"/>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а) 1000 рублей, если цена контракта не превышает 3 млн рублей;</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б) 5000 рублей, если цена контракта составляет от 3 млн рублей до 50 млн рублей (включительно);</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10000 рублей, если цена контракта составляет от 50 млн рублей до 100 млн рублей (включительно);</w:t>
      </w:r>
    </w:p>
    <w:p>
      <w:pPr>
        <w:pStyle w:val="Style21"/>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г) 100000 рублей, если цена контракта превышает 100 млн рублей.</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Вместе с тем, заказчиком также в техническом задании установлено следующее.</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К грубым нарушениям Исполнителем требований к оказанию услуг, предусмотренных настоящим Техническим заданием, относятся:</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Отсутствие или нарушение у сотрудника охраны специальной форменной одежды (по сезону);</w:t>
      </w:r>
    </w:p>
    <w:p>
      <w:pPr>
        <w:pStyle w:val="Style21"/>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самовольное оставление работником Исполнителя охраняемого Объекта;</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допуск работниками Исполнителя на территорию охраняемого Объекта посторонних лиц и (или) транспортных средств, равно как внос (ввоз) на охраняемый Объект, вынос (вывоз) имущества с охраняемого Объекта в нарушение требований, установленных Инструкцией по организации охраны объекта;</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прием (в том числе на временное хранение) работниками Исполнителя от любых лиц и передача любым лицам любых предметов;</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употребление работниками Исполнителя спиртных напитков, либо наркотических средств и (или) психотропных веществ, равно как появление на Объектах охраны (посту охраны) в состоянии алкогольного и (или) наркотического либо иного токсического опьянения;</w:t>
      </w:r>
    </w:p>
    <w:p>
      <w:pPr>
        <w:pStyle w:val="Style21"/>
        <w:widowControl w:val="0"/>
        <w:keepNext w:val="0"/>
        <w:keepLines w:val="0"/>
        <w:shd w:val="clear" w:color="auto" w:fill="auto"/>
        <w:bidi w:val="0"/>
        <w:jc w:val="both"/>
        <w:spacing w:before="0" w:after="0" w:line="349" w:lineRule="exact"/>
        <w:ind w:left="20" w:right="20" w:firstLine="700"/>
      </w:pPr>
      <w:r>
        <w:rPr>
          <w:lang w:val="ru-RU" w:eastAsia="ru-RU" w:bidi="ru-RU"/>
          <w:w w:val="100"/>
          <w:color w:val="000000"/>
          <w:position w:val="0"/>
        </w:rPr>
        <w:t>некорректное или грубое обращение с суворовцами, сотрудниками Заказчика или посетителями;</w:t>
      </w:r>
    </w:p>
    <w:p>
      <w:pPr>
        <w:pStyle w:val="Style21"/>
        <w:widowControl w:val="0"/>
        <w:keepNext w:val="0"/>
        <w:keepLines w:val="0"/>
        <w:shd w:val="clear" w:color="auto" w:fill="auto"/>
        <w:bidi w:val="0"/>
        <w:jc w:val="both"/>
        <w:spacing w:before="0" w:after="0" w:line="260" w:lineRule="exact"/>
        <w:ind w:left="20" w:right="0" w:firstLine="700"/>
      </w:pPr>
      <w:r>
        <w:rPr>
          <w:lang w:val="ru-RU" w:eastAsia="ru-RU" w:bidi="ru-RU"/>
          <w:w w:val="100"/>
          <w:color w:val="000000"/>
          <w:position w:val="0"/>
        </w:rPr>
        <w:t>выполнение работ (оказание услуг), не связанных с оказанием охранных</w:t>
      </w:r>
    </w:p>
    <w:p>
      <w:pPr>
        <w:pStyle w:val="Style21"/>
        <w:widowControl w:val="0"/>
        <w:keepNext w:val="0"/>
        <w:keepLines w:val="0"/>
        <w:shd w:val="clear" w:color="auto" w:fill="auto"/>
        <w:bidi w:val="0"/>
        <w:jc w:val="both"/>
        <w:spacing w:before="0" w:after="0" w:line="324" w:lineRule="exact"/>
        <w:ind w:left="20" w:right="0" w:firstLine="0"/>
      </w:pPr>
      <w:r>
        <w:rPr>
          <w:lang w:val="ru-RU" w:eastAsia="ru-RU" w:bidi="ru-RU"/>
          <w:w w:val="100"/>
          <w:color w:val="000000"/>
          <w:position w:val="0"/>
        </w:rPr>
        <w:t>услуг;</w:t>
      </w:r>
    </w:p>
    <w:p>
      <w:pPr>
        <w:pStyle w:val="Style21"/>
        <w:widowControl w:val="0"/>
        <w:keepNext w:val="0"/>
        <w:keepLines w:val="0"/>
        <w:shd w:val="clear" w:color="auto" w:fill="auto"/>
        <w:bidi w:val="0"/>
        <w:jc w:val="both"/>
        <w:spacing w:before="0" w:after="0" w:line="324" w:lineRule="exact"/>
        <w:ind w:left="20" w:right="20" w:firstLine="700"/>
      </w:pPr>
      <w:r>
        <w:rPr>
          <w:lang w:val="ru-RU" w:eastAsia="ru-RU" w:bidi="ru-RU"/>
          <w:w w:val="100"/>
          <w:color w:val="000000"/>
          <w:position w:val="0"/>
        </w:rPr>
        <w:t>изменение Исполнителем графика дежурства на Объекте охраны, без согласования с Заказчиком (администрацией объекта охраны).</w:t>
      </w:r>
    </w:p>
    <w:p>
      <w:pPr>
        <w:pStyle w:val="Style21"/>
        <w:widowControl w:val="0"/>
        <w:keepNext w:val="0"/>
        <w:keepLines w:val="0"/>
        <w:shd w:val="clear" w:color="auto" w:fill="auto"/>
        <w:bidi w:val="0"/>
        <w:jc w:val="both"/>
        <w:spacing w:before="0" w:after="0" w:line="324" w:lineRule="exact"/>
        <w:ind w:left="20" w:right="20" w:firstLine="700"/>
      </w:pPr>
      <w:r>
        <w:rPr>
          <w:lang w:val="ru-RU" w:eastAsia="ru-RU" w:bidi="ru-RU"/>
          <w:w w:val="100"/>
          <w:color w:val="000000"/>
          <w:position w:val="0"/>
        </w:rPr>
        <w:t xml:space="preserve">За грубое нарушение работниками Исполнителя требований к оказанию услуг, Исполнитель выплачивает Заказчику </w:t>
      </w:r>
      <w:r>
        <w:rPr>
          <w:rStyle w:val="CharStyle28"/>
        </w:rPr>
        <w:t>штраф в размере 3 % от ежемесячной</w:t>
      </w:r>
      <w:r>
        <w:rPr>
          <w:lang w:val="ru-RU" w:eastAsia="ru-RU" w:bidi="ru-RU"/>
          <w:w w:val="100"/>
          <w:color w:val="000000"/>
          <w:position w:val="0"/>
        </w:rPr>
        <w:t xml:space="preserve"> </w:t>
      </w:r>
      <w:r>
        <w:rPr>
          <w:rStyle w:val="CharStyle28"/>
        </w:rPr>
        <w:t>стоимости услуг Исполнителя за каждый установленный факт нарушения.</w:t>
      </w:r>
    </w:p>
    <w:p>
      <w:pPr>
        <w:pStyle w:val="Style21"/>
        <w:tabs>
          <w:tab w:leader="none" w:pos="4268" w:val="right"/>
          <w:tab w:leader="none" w:pos="8181" w:val="right"/>
          <w:tab w:leader="none" w:pos="10207" w:val="right"/>
        </w:tabs>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Вместе с тем, Комиссия Татарстанского УФАС России приходит к выводу, что штрафные санкции должны быть установлены заказчиком в проекте контракта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w:t>
        <w:tab/>
        <w:t>(подрядчиком,</w:t>
        <w:tab/>
        <w:t>исполнителем)</w:t>
        <w:tab/>
        <w:t>обязательств,</w:t>
      </w:r>
    </w:p>
    <w:p>
      <w:pPr>
        <w:pStyle w:val="Style21"/>
        <w:widowControl w:val="0"/>
        <w:keepNext w:val="0"/>
        <w:keepLines w:val="0"/>
        <w:shd w:val="clear" w:color="auto" w:fill="auto"/>
        <w:bidi w:val="0"/>
        <w:jc w:val="both"/>
        <w:spacing w:before="0" w:after="0"/>
        <w:ind w:left="20" w:right="20" w:firstLine="0"/>
      </w:pPr>
      <w:r>
        <w:rPr>
          <w:lang w:val="ru-RU" w:eastAsia="ru-RU" w:bidi="ru-RU"/>
          <w:w w:val="100"/>
          <w:color w:val="000000"/>
          <w:position w:val="0"/>
        </w:rPr>
        <w:t xml:space="preserve">предусмотренных контрактом, утвержденными Постановлением Правительства РФ от 30.08.2017 </w:t>
      </w:r>
      <w:r>
        <w:rPr>
          <w:lang w:val="en-US" w:eastAsia="en-US" w:bidi="en-US"/>
          <w:w w:val="100"/>
          <w:color w:val="000000"/>
          <w:position w:val="0"/>
        </w:rPr>
        <w:t xml:space="preserve">N </w:t>
      </w:r>
      <w:r>
        <w:rPr>
          <w:lang w:val="ru-RU" w:eastAsia="ru-RU" w:bidi="ru-RU"/>
          <w:w w:val="100"/>
          <w:color w:val="000000"/>
          <w:position w:val="0"/>
        </w:rPr>
        <w:t>1042.</w:t>
      </w:r>
    </w:p>
    <w:p>
      <w:pPr>
        <w:pStyle w:val="Style21"/>
        <w:tabs>
          <w:tab w:leader="none" w:pos="5876" w:val="right"/>
          <w:tab w:leader="none" w:pos="8181" w:val="right"/>
          <w:tab w:leader="none" w:pos="10207" w:val="right"/>
        </w:tabs>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Установление ответственности поставщика в техническом задании в размере, несоответствующем Постановлению Правительства РФ от 30.08.2017 </w:t>
      </w:r>
      <w:r>
        <w:rPr>
          <w:lang w:val="en-US" w:eastAsia="en-US" w:bidi="en-US"/>
          <w:w w:val="100"/>
          <w:color w:val="000000"/>
          <w:position w:val="0"/>
        </w:rPr>
        <w:t xml:space="preserve">N </w:t>
      </w:r>
      <w:r>
        <w:rPr>
          <w:lang w:val="ru-RU" w:eastAsia="ru-RU" w:bidi="ru-RU"/>
          <w:w w:val="100"/>
          <w:color w:val="000000"/>
          <w:position w:val="0"/>
        </w:rPr>
        <w:t>1042 является неправомерным,</w:t>
        <w:tab/>
        <w:t>противоречит</w:t>
        <w:tab/>
        <w:t>требованиям</w:t>
        <w:tab/>
        <w:t>действующего</w:t>
      </w:r>
    </w:p>
    <w:p>
      <w:pPr>
        <w:pStyle w:val="Style21"/>
        <w:widowControl w:val="0"/>
        <w:keepNext w:val="0"/>
        <w:keepLines w:val="0"/>
        <w:shd w:val="clear" w:color="auto" w:fill="auto"/>
        <w:bidi w:val="0"/>
        <w:jc w:val="both"/>
        <w:spacing w:before="0" w:after="0"/>
        <w:ind w:left="20" w:right="20" w:firstLine="0"/>
      </w:pPr>
      <w:r>
        <w:rPr>
          <w:lang w:val="ru-RU" w:eastAsia="ru-RU" w:bidi="ru-RU"/>
          <w:w w:val="100"/>
          <w:color w:val="000000"/>
          <w:position w:val="0"/>
        </w:rPr>
        <w:t>законодательства, ставит исполнителя, который заключает государственный контракт в неравное положение.</w:t>
      </w:r>
    </w:p>
    <w:p>
      <w:pPr>
        <w:pStyle w:val="Style21"/>
        <w:widowControl w:val="0"/>
        <w:keepNext w:val="0"/>
        <w:keepLines w:val="0"/>
        <w:shd w:val="clear" w:color="auto" w:fill="auto"/>
        <w:bidi w:val="0"/>
        <w:jc w:val="both"/>
        <w:spacing w:before="0" w:after="0"/>
        <w:ind w:left="20" w:right="0" w:firstLine="700"/>
      </w:pPr>
      <w:r>
        <w:rPr>
          <w:lang w:val="ru-RU" w:eastAsia="ru-RU" w:bidi="ru-RU"/>
          <w:w w:val="100"/>
          <w:color w:val="000000"/>
          <w:position w:val="0"/>
        </w:rPr>
        <w:t>Довод заявителя признан обоснованным.</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Заказчиком нарушены требования части 8 статьи 34 Закона о контрактной системе.</w:t>
      </w:r>
    </w:p>
    <w:p>
      <w:pPr>
        <w:pStyle w:val="Style21"/>
        <w:tabs>
          <w:tab w:leader="none" w:pos="5876" w:val="right"/>
          <w:tab w:leader="none" w:pos="8181" w:val="right"/>
          <w:tab w:leader="none" w:pos="10207" w:val="right"/>
        </w:tabs>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Учитывая вышеизложенное, Комиссией принято решение о необходимости выдачи предписания об устранения нарушений требований действующего законодательства и внесении изменений в проект контракта (спецификацию) при направлении его победителю для</w:t>
        <w:tab/>
        <w:t>подписания в</w:t>
        <w:tab/>
        <w:t>части исключения</w:t>
        <w:tab/>
        <w:t>ответственности</w:t>
      </w:r>
    </w:p>
    <w:p>
      <w:pPr>
        <w:pStyle w:val="Style21"/>
        <w:tabs>
          <w:tab w:leader="none" w:pos="10207" w:val="right"/>
          <w:tab w:leader="none" w:pos="5866" w:val="right"/>
          <w:tab w:leader="none" w:pos="8170" w:val="right"/>
          <w:tab w:leader="none" w:pos="10201" w:val="right"/>
        </w:tabs>
        <w:widowControl w:val="0"/>
        <w:keepNext w:val="0"/>
        <w:keepLines w:val="0"/>
        <w:shd w:val="clear" w:color="auto" w:fill="auto"/>
        <w:bidi w:val="0"/>
        <w:jc w:val="both"/>
        <w:spacing w:before="0" w:after="0"/>
        <w:ind w:left="20" w:right="0" w:firstLine="0"/>
      </w:pPr>
      <w:r>
        <w:rPr>
          <w:lang w:val="ru-RU" w:eastAsia="ru-RU" w:bidi="ru-RU"/>
          <w:w w:val="100"/>
          <w:color w:val="000000"/>
          <w:position w:val="0"/>
        </w:rPr>
        <w:t>исполнителя в размере 3 %</w:t>
        <w:tab/>
        <w:t>от</w:t>
        <w:tab/>
        <w:t>ежемесячной</w:t>
        <w:tab/>
        <w:t>стоимости услуг</w:t>
        <w:tab/>
        <w:t>Исполнителя за</w:t>
      </w:r>
    </w:p>
    <w:p>
      <w:pPr>
        <w:pStyle w:val="Style21"/>
        <w:widowControl w:val="0"/>
        <w:keepNext w:val="0"/>
        <w:keepLines w:val="0"/>
        <w:shd w:val="clear" w:color="auto" w:fill="auto"/>
        <w:bidi w:val="0"/>
        <w:jc w:val="both"/>
        <w:spacing w:before="0" w:after="0"/>
        <w:ind w:left="20" w:right="0" w:firstLine="0"/>
      </w:pPr>
      <w:r>
        <w:rPr>
          <w:lang w:val="ru-RU" w:eastAsia="ru-RU" w:bidi="ru-RU"/>
          <w:w w:val="100"/>
          <w:color w:val="000000"/>
          <w:position w:val="0"/>
        </w:rPr>
        <w:t>каждый установленный факт нарушения.</w:t>
      </w:r>
    </w:p>
    <w:p>
      <w:pPr>
        <w:pStyle w:val="Style29"/>
        <w:numPr>
          <w:ilvl w:val="0"/>
          <w:numId w:val="1"/>
        </w:numPr>
        <w:tabs>
          <w:tab w:leader="none" w:pos="1438" w:val="left"/>
        </w:tabs>
        <w:widowControl w:val="0"/>
        <w:keepNext w:val="0"/>
        <w:keepLines w:val="0"/>
        <w:shd w:val="clear" w:color="auto" w:fill="auto"/>
        <w:bidi w:val="0"/>
        <w:spacing w:before="0" w:after="0"/>
        <w:ind w:left="20" w:right="20"/>
      </w:pPr>
      <w:r>
        <w:rPr>
          <w:lang w:val="ru-RU" w:eastAsia="ru-RU" w:bidi="ru-RU"/>
          <w:w w:val="100"/>
          <w:spacing w:val="0"/>
          <w:color w:val="000000"/>
          <w:position w:val="0"/>
        </w:rPr>
        <w:t>Относительно довода заявителя о неверно произведенном расчете начальной (максимально) цены контракта.</w:t>
      </w:r>
    </w:p>
    <w:p>
      <w:pPr>
        <w:pStyle w:val="Style21"/>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частью 8 статьи 99 Федерального закона от 05.04.2013 г. №44-ФЗ «О контрактной системе в сфере закупок товаров, работ, услуг для обеспечения государственных и муниципальных нужд»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w:t>
      </w:r>
    </w:p>
    <w:p>
      <w:pPr>
        <w:pStyle w:val="Style21"/>
        <w:numPr>
          <w:ilvl w:val="0"/>
          <w:numId w:val="5"/>
        </w:numPr>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 xml:space="preserve"> соблюдения правил нормирования в сфере закупок, установленных в соответствии со статьей 19 настоящего Федерального закона;</w:t>
      </w:r>
    </w:p>
    <w:p>
      <w:pPr>
        <w:pStyle w:val="Style21"/>
        <w:numPr>
          <w:ilvl w:val="0"/>
          <w:numId w:val="5"/>
        </w:numPr>
        <w:widowControl w:val="0"/>
        <w:keepNext w:val="0"/>
        <w:keepLines w:val="0"/>
        <w:shd w:val="clear" w:color="auto" w:fill="auto"/>
        <w:bidi w:val="0"/>
        <w:jc w:val="both"/>
        <w:spacing w:before="0" w:after="0"/>
        <w:ind w:left="20" w:right="20" w:firstLine="700"/>
      </w:pPr>
      <w:r>
        <w:rPr>
          <w:rStyle w:val="CharStyle28"/>
        </w:rPr>
        <w:t xml:space="preserve"> определения и обоснования начальной (максимальной) цены контракта,</w:t>
      </w:r>
      <w:r>
        <w:rPr>
          <w:lang w:val="ru-RU" w:eastAsia="ru-RU" w:bidi="ru-RU"/>
          <w:w w:val="100"/>
          <w:color w:val="000000"/>
          <w:position w:val="0"/>
        </w:rPr>
        <w:t xml:space="preserve"> </w:t>
      </w:r>
      <w:r>
        <w:rPr>
          <w:rStyle w:val="CharStyle28"/>
        </w:rPr>
        <w:t>цены контракта, заключаемого с единственным поставщиком (подрядчиком,</w:t>
      </w:r>
      <w:r>
        <w:rPr>
          <w:lang w:val="ru-RU" w:eastAsia="ru-RU" w:bidi="ru-RU"/>
          <w:w w:val="100"/>
          <w:color w:val="000000"/>
          <w:position w:val="0"/>
        </w:rPr>
        <w:t xml:space="preserve"> </w:t>
      </w:r>
      <w:r>
        <w:rPr>
          <w:rStyle w:val="CharStyle28"/>
        </w:rPr>
        <w:t>исполнителем), начальной цены единицы товара, работы, услуги, начальной суммы</w:t>
      </w:r>
      <w:r>
        <w:rPr>
          <w:lang w:val="ru-RU" w:eastAsia="ru-RU" w:bidi="ru-RU"/>
          <w:w w:val="100"/>
          <w:color w:val="000000"/>
          <w:position w:val="0"/>
        </w:rPr>
        <w:t xml:space="preserve"> </w:t>
      </w:r>
      <w:r>
        <w:rPr>
          <w:rStyle w:val="CharStyle28"/>
        </w:rPr>
        <w:t>цен единиц товара, работы, услуги;</w:t>
      </w:r>
    </w:p>
    <w:p>
      <w:pPr>
        <w:pStyle w:val="Style21"/>
        <w:widowControl w:val="0"/>
        <w:keepNext w:val="0"/>
        <w:keepLines w:val="0"/>
        <w:shd w:val="clear" w:color="auto" w:fill="auto"/>
        <w:bidi w:val="0"/>
        <w:jc w:val="both"/>
        <w:spacing w:before="0" w:after="0" w:line="324" w:lineRule="exact"/>
        <w:ind w:left="20" w:right="20" w:firstLine="680"/>
      </w:pPr>
      <w:r>
        <w:rPr>
          <w:lang w:val="ru-RU" w:eastAsia="ru-RU" w:bidi="ru-RU"/>
          <w:w w:val="100"/>
          <w:color w:val="000000"/>
          <w:position w:val="0"/>
        </w:rPr>
        <w:t>5) соблюдения предусмотренных настоящим Федеральным законом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 результата) или оказанной услуги условиям контракта;</w:t>
      </w:r>
    </w:p>
    <w:p>
      <w:pPr>
        <w:pStyle w:val="Style21"/>
        <w:numPr>
          <w:ilvl w:val="0"/>
          <w:numId w:val="7"/>
        </w:numPr>
        <w:tabs>
          <w:tab w:leader="none" w:pos="1042" w:val="left"/>
        </w:tabs>
        <w:widowControl w:val="0"/>
        <w:keepNext w:val="0"/>
        <w:keepLines w:val="0"/>
        <w:shd w:val="clear" w:color="auto" w:fill="auto"/>
        <w:bidi w:val="0"/>
        <w:jc w:val="both"/>
        <w:spacing w:before="0" w:after="0" w:line="324" w:lineRule="exact"/>
        <w:ind w:left="20" w:right="20" w:firstLine="680"/>
      </w:pPr>
      <w:r>
        <w:rPr>
          <w:lang w:val="ru-RU" w:eastAsia="ru-RU" w:bidi="ru-RU"/>
          <w:w w:val="100"/>
          <w:color w:val="000000"/>
          <w:position w:val="0"/>
        </w:rPr>
        <w:t>соответствия использования поставленного товара, выполненной работы (ее результата) или оказанной услуги целям осуществления закупки.</w:t>
      </w:r>
    </w:p>
    <w:p>
      <w:pPr>
        <w:pStyle w:val="Style21"/>
        <w:widowControl w:val="0"/>
        <w:keepNext w:val="0"/>
        <w:keepLines w:val="0"/>
        <w:shd w:val="clear" w:color="auto" w:fill="auto"/>
        <w:bidi w:val="0"/>
        <w:jc w:val="both"/>
        <w:spacing w:before="0" w:after="0" w:line="324" w:lineRule="exact"/>
        <w:ind w:left="20" w:right="20" w:firstLine="680"/>
      </w:pPr>
      <w:r>
        <w:rPr>
          <w:lang w:val="ru-RU" w:eastAsia="ru-RU" w:bidi="ru-RU"/>
          <w:w w:val="100"/>
          <w:color w:val="000000"/>
          <w:position w:val="0"/>
        </w:rPr>
        <w:t>Вопрос проведения соответствующей проверки правомерности определения и обоснования начальной (максимальной) цены контракта не относится к компетенции антимонопольного органа.</w:t>
      </w:r>
    </w:p>
    <w:p>
      <w:pPr>
        <w:pStyle w:val="Style21"/>
        <w:widowControl w:val="0"/>
        <w:keepNext w:val="0"/>
        <w:keepLines w:val="0"/>
        <w:shd w:val="clear" w:color="auto" w:fill="auto"/>
        <w:bidi w:val="0"/>
        <w:jc w:val="both"/>
        <w:spacing w:before="0" w:after="0" w:line="324" w:lineRule="exact"/>
        <w:ind w:left="20" w:right="20" w:firstLine="680"/>
      </w:pPr>
      <w:r>
        <w:rPr>
          <w:lang w:val="ru-RU" w:eastAsia="ru-RU" w:bidi="ru-RU"/>
          <w:w w:val="100"/>
          <w:color w:val="000000"/>
          <w:position w:val="0"/>
        </w:rPr>
        <w:t>Татарстанским УФАС России принято решение о передаче жалобы ООО Агентство охраны «ГЮРЗА» (вх. № 14504/ж от 28.10.2021г.) в части правомерности обоснования начальной (максимальной) цены контракта в Управление Федерального казначейства по Республике Татарстан для проведения соответствующей проверки.</w:t>
      </w:r>
    </w:p>
    <w:p>
      <w:pPr>
        <w:pStyle w:val="Style21"/>
        <w:widowControl w:val="0"/>
        <w:keepNext w:val="0"/>
        <w:keepLines w:val="0"/>
        <w:shd w:val="clear" w:color="auto" w:fill="auto"/>
        <w:bidi w:val="0"/>
        <w:jc w:val="both"/>
        <w:spacing w:before="0" w:after="291" w:line="324" w:lineRule="exact"/>
        <w:ind w:left="20" w:right="20" w:firstLine="680"/>
      </w:pPr>
      <w:r>
        <w:rPr>
          <w:lang w:val="ru-RU" w:eastAsia="ru-RU" w:bidi="ru-RU"/>
          <w:w w:val="100"/>
          <w:color w:val="000000"/>
          <w:position w:val="0"/>
        </w:rPr>
        <w:t xml:space="preserve">На основании вышеизложенного, руководствуясь пунктом 2 части 22 статьи 99, частью 8 статьи 106 Федерального закона от 05.04.2013 </w:t>
      </w:r>
      <w:r>
        <w:rPr>
          <w:lang w:val="en-US" w:eastAsia="en-US" w:bidi="en-US"/>
          <w:w w:val="100"/>
          <w:color w:val="000000"/>
          <w:position w:val="0"/>
        </w:rPr>
        <w:t xml:space="preserve">N </w:t>
      </w:r>
      <w:r>
        <w:rPr>
          <w:lang w:val="ru-RU" w:eastAsia="ru-RU" w:bidi="ru-RU"/>
          <w:w w:val="100"/>
          <w:color w:val="000000"/>
          <w:position w:val="0"/>
        </w:rPr>
        <w:t>44-ФЗ «О контрактной системе в сфере закупок товаров, работ, услуг для обеспечения государственных и муниципальных нужд», Комиссия</w:t>
      </w:r>
    </w:p>
    <w:p>
      <w:pPr>
        <w:pStyle w:val="Style42"/>
        <w:widowControl w:val="0"/>
        <w:keepNext/>
        <w:keepLines/>
        <w:shd w:val="clear" w:color="auto" w:fill="auto"/>
        <w:bidi w:val="0"/>
        <w:jc w:val="left"/>
        <w:spacing w:before="0" w:after="261" w:line="260" w:lineRule="exact"/>
        <w:ind w:left="4660" w:right="0" w:firstLine="0"/>
      </w:pPr>
      <w:bookmarkStart w:id="2" w:name="bookmark2"/>
      <w:r>
        <w:rPr>
          <w:rStyle w:val="CharStyle44"/>
        </w:rPr>
        <w:t>РЕШИЛА:</w:t>
      </w:r>
      <w:bookmarkEnd w:id="2"/>
    </w:p>
    <w:p>
      <w:pPr>
        <w:pStyle w:val="Style21"/>
        <w:numPr>
          <w:ilvl w:val="0"/>
          <w:numId w:val="9"/>
        </w:numPr>
        <w:widowControl w:val="0"/>
        <w:keepNext w:val="0"/>
        <w:keepLines w:val="0"/>
        <w:shd w:val="clear" w:color="auto" w:fill="auto"/>
        <w:bidi w:val="0"/>
        <w:jc w:val="both"/>
        <w:spacing w:before="0" w:after="0"/>
        <w:ind w:left="20" w:right="20" w:firstLine="680"/>
      </w:pPr>
      <w:r>
        <w:rPr>
          <w:lang w:val="ru-RU" w:eastAsia="ru-RU" w:bidi="ru-RU"/>
          <w:w w:val="100"/>
          <w:color w:val="000000"/>
          <w:position w:val="0"/>
        </w:rPr>
        <w:t xml:space="preserve"> Признать жалобу ООО Агентство охраны «ГЮРЗА» (вх. № 14504/ж от 28.10.2021г.) на действия заказчика Федерального государственного казенного общеобразовательного учреждения «Казанское суворовское военное училище Министерства обороны Российской Федерации» при проведении закупки №0811100003621000008 на предмет: «Оказание услуг по охране служебных помещений для нужд федерального государственного казенного общеобразовательного учреждения «Казанское суворовское военное училище Министерства обороны Российской Федерации», частично обоснованной в части установления заказчиком неправомерного размера штрафа в техническом задании.</w:t>
      </w:r>
    </w:p>
    <w:p>
      <w:pPr>
        <w:pStyle w:val="Style21"/>
        <w:numPr>
          <w:ilvl w:val="0"/>
          <w:numId w:val="9"/>
        </w:numPr>
        <w:widowControl w:val="0"/>
        <w:keepNext w:val="0"/>
        <w:keepLines w:val="0"/>
        <w:shd w:val="clear" w:color="auto" w:fill="auto"/>
        <w:bidi w:val="0"/>
        <w:jc w:val="both"/>
        <w:spacing w:before="0" w:after="0"/>
        <w:ind w:left="20" w:right="20" w:firstLine="680"/>
      </w:pPr>
      <w:r>
        <w:rPr>
          <w:lang w:val="ru-RU" w:eastAsia="ru-RU" w:bidi="ru-RU"/>
          <w:w w:val="100"/>
          <w:color w:val="000000"/>
          <w:position w:val="0"/>
        </w:rPr>
        <w:t xml:space="preserve"> Признать заказчика Федеральное государственное казенное общеобразовательное учреждение «Казанское суворовское военное училище Министерства обороны Российской Федерации» нарушившим требования части 8 статьи 34 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pPr>
        <w:pStyle w:val="Style21"/>
        <w:numPr>
          <w:ilvl w:val="0"/>
          <w:numId w:val="9"/>
        </w:numPr>
        <w:widowControl w:val="0"/>
        <w:keepNext w:val="0"/>
        <w:keepLines w:val="0"/>
        <w:shd w:val="clear" w:color="auto" w:fill="auto"/>
        <w:bidi w:val="0"/>
        <w:jc w:val="both"/>
        <w:spacing w:before="0" w:after="0"/>
        <w:ind w:left="20" w:right="20" w:firstLine="680"/>
      </w:pPr>
      <w:r>
        <w:rPr>
          <w:lang w:val="ru-RU" w:eastAsia="ru-RU" w:bidi="ru-RU"/>
          <w:w w:val="100"/>
          <w:color w:val="000000"/>
          <w:position w:val="0"/>
        </w:rPr>
        <w:t xml:space="preserve"> Выдать заказчику Федеральному государственному казенному общеобразовательному учреждению «Казанское суворовское военное училище Министерства обороны Российской Федерации» предписание об устранении нарушений действующего законодательства.</w:t>
      </w:r>
    </w:p>
    <w:p>
      <w:pPr>
        <w:pStyle w:val="Style21"/>
        <w:numPr>
          <w:ilvl w:val="0"/>
          <w:numId w:val="9"/>
        </w:numPr>
        <w:widowControl w:val="0"/>
        <w:keepNext w:val="0"/>
        <w:keepLines w:val="0"/>
        <w:shd w:val="clear" w:color="auto" w:fill="auto"/>
        <w:bidi w:val="0"/>
        <w:jc w:val="both"/>
        <w:spacing w:before="0" w:after="0"/>
        <w:ind w:left="20" w:right="20" w:firstLine="680"/>
      </w:pPr>
      <w:r>
        <w:rPr>
          <w:lang w:val="ru-RU" w:eastAsia="ru-RU" w:bidi="ru-RU"/>
          <w:w w:val="100"/>
          <w:color w:val="000000"/>
          <w:position w:val="0"/>
        </w:rPr>
        <w:t xml:space="preserve">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w:t>
      </w:r>
    </w:p>
    <w:p>
      <w:pPr>
        <w:pStyle w:val="Style21"/>
        <w:widowControl w:val="0"/>
        <w:keepNext w:val="0"/>
        <w:keepLines w:val="0"/>
        <w:shd w:val="clear" w:color="auto" w:fill="auto"/>
        <w:bidi w:val="0"/>
        <w:jc w:val="left"/>
        <w:spacing w:before="0" w:after="0" w:line="328" w:lineRule="exact"/>
        <w:ind w:left="20" w:right="0" w:firstLine="0"/>
      </w:pPr>
      <w:r>
        <w:rPr>
          <w:lang w:val="ru-RU" w:eastAsia="ru-RU" w:bidi="ru-RU"/>
          <w:w w:val="100"/>
          <w:color w:val="000000"/>
          <w:position w:val="0"/>
        </w:rPr>
        <w:t>Российской Федерации о контрактной системе.</w:t>
      </w:r>
    </w:p>
    <w:p>
      <w:pPr>
        <w:pStyle w:val="Style21"/>
        <w:numPr>
          <w:ilvl w:val="0"/>
          <w:numId w:val="9"/>
        </w:numPr>
        <w:tabs>
          <w:tab w:leader="none" w:pos="1420" w:val="left"/>
        </w:tabs>
        <w:widowControl w:val="0"/>
        <w:keepNext w:val="0"/>
        <w:keepLines w:val="0"/>
        <w:shd w:val="clear" w:color="auto" w:fill="auto"/>
        <w:bidi w:val="0"/>
        <w:jc w:val="both"/>
        <w:spacing w:before="0" w:after="0" w:line="328" w:lineRule="exact"/>
        <w:ind w:left="20" w:right="280" w:firstLine="700"/>
      </w:pPr>
      <w:r>
        <w:rPr>
          <w:lang w:val="ru-RU" w:eastAsia="ru-RU" w:bidi="ru-RU"/>
          <w:w w:val="100"/>
          <w:color w:val="000000"/>
          <w:position w:val="0"/>
        </w:rPr>
        <w:t>Направить материалы дела в части правомерности обоснования начальной (максимальной) цены контракта в Управление Федерального казначейства по Республике Татарстан.</w:t>
      </w:r>
    </w:p>
    <w:p>
      <w:pPr>
        <w:pStyle w:val="Style21"/>
        <w:widowControl w:val="0"/>
        <w:keepNext w:val="0"/>
        <w:keepLines w:val="0"/>
        <w:shd w:val="clear" w:color="auto" w:fill="auto"/>
        <w:bidi w:val="0"/>
        <w:jc w:val="both"/>
        <w:spacing w:before="0" w:after="0" w:line="328" w:lineRule="exact"/>
        <w:ind w:left="20" w:right="280" w:firstLine="700"/>
      </w:pPr>
      <w:r>
        <w:rPr>
          <w:lang w:val="ru-RU" w:eastAsia="ru-RU" w:bidi="ru-RU"/>
          <w:w w:val="100"/>
          <w:color w:val="000000"/>
          <w:position w:val="0"/>
        </w:rPr>
        <w:t>Решение Комиссии может быть обжаловано в судебном порядке в течение трех месяцев со дня его принятия.</w:t>
      </w:r>
    </w:p>
    <w:p>
      <w:pPr>
        <w:pStyle w:val="Style21"/>
        <w:widowControl w:val="0"/>
        <w:keepNext w:val="0"/>
        <w:keepLines w:val="0"/>
        <w:shd w:val="clear" w:color="auto" w:fill="auto"/>
        <w:bidi w:val="0"/>
        <w:jc w:val="left"/>
        <w:spacing w:before="0" w:after="0" w:line="260" w:lineRule="exact"/>
        <w:ind w:left="20" w:right="0" w:firstLine="0"/>
      </w:pPr>
      <w:r>
        <w:rPr>
          <w:lang w:val="ru-RU" w:eastAsia="ru-RU" w:bidi="ru-RU"/>
          <w:w w:val="100"/>
          <w:color w:val="000000"/>
          <w:position w:val="0"/>
        </w:rPr>
        <w:t>Зам. Председателя Комиссии:</w:t>
      </w:r>
    </w:p>
    <w:p>
      <w:pPr>
        <w:pStyle w:val="Style21"/>
        <w:widowControl w:val="0"/>
        <w:keepNext w:val="0"/>
        <w:keepLines w:val="0"/>
        <w:shd w:val="clear" w:color="auto" w:fill="auto"/>
        <w:bidi w:val="0"/>
        <w:jc w:val="left"/>
        <w:spacing w:before="0" w:after="7575" w:line="260" w:lineRule="exact"/>
        <w:ind w:left="20" w:right="0" w:firstLine="0"/>
      </w:pPr>
      <w:r>
        <w:rPr>
          <w:lang w:val="ru-RU" w:eastAsia="ru-RU" w:bidi="ru-RU"/>
          <w:w w:val="100"/>
          <w:color w:val="000000"/>
          <w:position w:val="0"/>
        </w:rPr>
        <w:t>Члены Комиссии:</w:t>
      </w:r>
    </w:p>
    <w:p>
      <w:pPr>
        <w:pStyle w:val="Style14"/>
        <w:widowControl w:val="0"/>
        <w:keepNext w:val="0"/>
        <w:keepLines w:val="0"/>
        <w:shd w:val="clear" w:color="auto" w:fill="auto"/>
        <w:bidi w:val="0"/>
        <w:jc w:val="left"/>
        <w:spacing w:before="0" w:after="0" w:line="274" w:lineRule="exact"/>
        <w:ind w:left="20" w:right="2700" w:firstLine="0"/>
      </w:pPr>
      <w:r>
        <w:rPr>
          <w:lang w:val="ru-RU" w:eastAsia="ru-RU" w:bidi="ru-RU"/>
          <w:w w:val="100"/>
          <w:spacing w:val="0"/>
          <w:color w:val="000000"/>
          <w:position w:val="0"/>
        </w:rPr>
        <w:t>Исп.: Кучеева Алина Сергеевна, Тел.: 8(843)293-10-91</w:t>
      </w:r>
    </w:p>
    <w:sectPr>
      <w:type w:val="continuous"/>
      <w:pgSz w:w="11906" w:h="16838"/>
      <w:pgMar w:top="693" w:left="704" w:right="722" w:bottom="143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iCs/>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10"/>
        <w:color w:val="000000"/>
        <w:position w:val="0"/>
      </w:rPr>
    </w:lvl>
  </w:abstractNum>
  <w:abstractNum w:abstractNumId="4">
    <w:multiLevelType w:val="multilevel"/>
    <w:lvl w:ilvl="0">
      <w:start w:val="2"/>
      <w:numFmt w:val="decimal"/>
      <w:lvlText w:val="%1)"/>
      <w:rPr>
        <w:lang w:val="ru-RU" w:eastAsia="ru-RU" w:bidi="ru-RU"/>
        <w:b w:val="0"/>
        <w:bCs w:val="0"/>
        <w:i w:val="0"/>
        <w:iCs w:val="0"/>
        <w:u w:val="single"/>
        <w:strike w:val="0"/>
        <w:smallCaps w:val="0"/>
        <w:sz w:val="26"/>
        <w:szCs w:val="26"/>
        <w:rFonts w:ascii="Times New Roman" w:eastAsia="Times New Roman" w:hAnsi="Times New Roman" w:cs="Times New Roman"/>
        <w:w w:val="100"/>
        <w:spacing w:val="10"/>
        <w:color w:val="000000"/>
        <w:position w:val="0"/>
      </w:rPr>
    </w:lvl>
  </w:abstractNum>
  <w:abstractNum w:abstractNumId="6">
    <w:multiLevelType w:val="multilevel"/>
    <w:lvl w:ilvl="0">
      <w:start w:val="7"/>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1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Заголовок №1_"/>
    <w:basedOn w:val="DefaultParagraphFont"/>
    <w:link w:val="Style9"/>
    <w:rPr>
      <w:b w:val="0"/>
      <w:bCs w:val="0"/>
      <w:i/>
      <w:iCs/>
      <w:u w:val="none"/>
      <w:strike w:val="0"/>
      <w:smallCaps w:val="0"/>
      <w:sz w:val="32"/>
      <w:szCs w:val="32"/>
      <w:rFonts w:ascii="Times New Roman" w:eastAsia="Times New Roman" w:hAnsi="Times New Roman" w:cs="Times New Roman"/>
      <w:spacing w:val="-30"/>
    </w:rPr>
  </w:style>
  <w:style w:type="character" w:customStyle="1" w:styleId="CharStyle11">
    <w:name w:val="Заголовок №1 + Segoe UI,15 pt,Полужирный,Не курсив,Интервал 0 pt"/>
    <w:basedOn w:val="CharStyle10"/>
    <w:rPr>
      <w:lang w:val="ru-RU" w:eastAsia="ru-RU" w:bidi="ru-RU"/>
      <w:b/>
      <w:bCs/>
      <w:i/>
      <w:iCs/>
      <w:sz w:val="30"/>
      <w:szCs w:val="30"/>
      <w:rFonts w:ascii="Segoe UI" w:eastAsia="Segoe UI" w:hAnsi="Segoe UI" w:cs="Segoe UI"/>
      <w:w w:val="100"/>
      <w:spacing w:val="0"/>
      <w:color w:val="000000"/>
      <w:position w:val="0"/>
    </w:rPr>
  </w:style>
  <w:style w:type="character" w:customStyle="1" w:styleId="CharStyle12">
    <w:name w:val="Заголовок №1 + 13 pt,Не курсив,Интервал 0 pt"/>
    <w:basedOn w:val="CharStyle10"/>
    <w:rPr>
      <w:lang w:val="ru-RU" w:eastAsia="ru-RU" w:bidi="ru-RU"/>
      <w:i/>
      <w:iCs/>
      <w:sz w:val="26"/>
      <w:szCs w:val="26"/>
      <w:w w:val="100"/>
      <w:spacing w:val="10"/>
      <w:color w:val="000000"/>
      <w:position w:val="0"/>
    </w:rPr>
  </w:style>
  <w:style w:type="character" w:customStyle="1" w:styleId="CharStyle13">
    <w:name w:val="Заголовок №1"/>
    <w:basedOn w:val="CharStyle10"/>
    <w:rPr>
      <w:lang w:val="en-US" w:eastAsia="en-US" w:bidi="en-US"/>
      <w:w w:val="10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21"/>
      <w:szCs w:val="21"/>
      <w:rFonts w:ascii="Times New Roman" w:eastAsia="Times New Roman" w:hAnsi="Times New Roman" w:cs="Times New Roman"/>
    </w:rPr>
  </w:style>
  <w:style w:type="character" w:customStyle="1" w:styleId="CharStyle16">
    <w:name w:val="Основной текст (4)"/>
    <w:basedOn w:val="CharStyle15"/>
    <w:rPr>
      <w:lang w:val="ru-RU" w:eastAsia="ru-RU" w:bidi="ru-RU"/>
      <w:w w:val="100"/>
      <w:spacing w:val="0"/>
      <w:color w:val="000000"/>
      <w:position w:val="0"/>
    </w:rPr>
  </w:style>
  <w:style w:type="character" w:customStyle="1" w:styleId="CharStyle18">
    <w:name w:val="Заголовок №2_"/>
    <w:basedOn w:val="DefaultParagraphFont"/>
    <w:link w:val="Style17"/>
    <w:rPr>
      <w:b/>
      <w:bCs/>
      <w:i w:val="0"/>
      <w:iCs w:val="0"/>
      <w:u w:val="none"/>
      <w:strike w:val="0"/>
      <w:smallCaps w:val="0"/>
      <w:sz w:val="30"/>
      <w:szCs w:val="30"/>
      <w:rFonts w:ascii="Segoe UI" w:eastAsia="Segoe UI" w:hAnsi="Segoe UI" w:cs="Segoe UI"/>
    </w:rPr>
  </w:style>
  <w:style w:type="character" w:customStyle="1" w:styleId="CharStyle19">
    <w:name w:val="Заголовок №2"/>
    <w:basedOn w:val="CharStyle18"/>
    <w:rPr>
      <w:lang w:val="ru-RU" w:eastAsia="ru-RU" w:bidi="ru-RU"/>
      <w:w w:val="100"/>
      <w:spacing w:val="0"/>
      <w:color w:val="000000"/>
      <w:position w:val="0"/>
    </w:rPr>
  </w:style>
  <w:style w:type="character" w:customStyle="1" w:styleId="CharStyle20">
    <w:name w:val="Заголовок №2 + Times New Roman,11 pt,Интервал 1 pt"/>
    <w:basedOn w:val="CharStyle18"/>
    <w:rPr>
      <w:lang w:val="ru-RU" w:eastAsia="ru-RU" w:bidi="ru-RU"/>
      <w:sz w:val="22"/>
      <w:szCs w:val="22"/>
      <w:rFonts w:ascii="Times New Roman" w:eastAsia="Times New Roman" w:hAnsi="Times New Roman" w:cs="Times New Roman"/>
      <w:w w:val="100"/>
      <w:spacing w:val="20"/>
      <w:color w:val="000000"/>
      <w:position w:val="0"/>
    </w:rPr>
  </w:style>
  <w:style w:type="character" w:customStyle="1" w:styleId="CharStyle22">
    <w:name w:val="Основной текст_"/>
    <w:basedOn w:val="DefaultParagraphFont"/>
    <w:link w:val="Style21"/>
    <w:rPr>
      <w:b w:val="0"/>
      <w:bCs w:val="0"/>
      <w:i w:val="0"/>
      <w:iCs w:val="0"/>
      <w:u w:val="none"/>
      <w:strike w:val="0"/>
      <w:smallCaps w:val="0"/>
      <w:sz w:val="26"/>
      <w:szCs w:val="26"/>
      <w:rFonts w:ascii="Times New Roman" w:eastAsia="Times New Roman" w:hAnsi="Times New Roman" w:cs="Times New Roman"/>
      <w:spacing w:val="10"/>
    </w:rPr>
  </w:style>
  <w:style w:type="character" w:customStyle="1" w:styleId="CharStyle23">
    <w:name w:val="Основной текст + Segoe UI,10,5 pt,Полужирный"/>
    <w:basedOn w:val="CharStyle22"/>
    <w:rPr>
      <w:lang w:val="en-US" w:eastAsia="en-US" w:bidi="en-US"/>
      <w:b/>
      <w:bCs/>
      <w:u w:val="single"/>
      <w:sz w:val="21"/>
      <w:szCs w:val="21"/>
      <w:rFonts w:ascii="Segoe UI" w:eastAsia="Segoe UI" w:hAnsi="Segoe UI" w:cs="Segoe UI"/>
      <w:w w:val="100"/>
      <w:color w:val="000000"/>
      <w:position w:val="0"/>
    </w:rPr>
  </w:style>
  <w:style w:type="character" w:customStyle="1" w:styleId="CharStyle2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1"/>
    </w:rPr>
  </w:style>
  <w:style w:type="character" w:customStyle="1" w:styleId="CharStyle26">
    <w:name w:val="Основной текст (5)_"/>
    <w:basedOn w:val="DefaultParagraphFont"/>
    <w:link w:val="Style25"/>
    <w:rPr>
      <w:b/>
      <w:bCs/>
      <w:i w:val="0"/>
      <w:iCs w:val="0"/>
      <w:u w:val="none"/>
      <w:strike w:val="0"/>
      <w:smallCaps w:val="0"/>
      <w:rFonts w:ascii="Times New Roman" w:eastAsia="Times New Roman" w:hAnsi="Times New Roman" w:cs="Times New Roman"/>
      <w:spacing w:val="10"/>
    </w:rPr>
  </w:style>
  <w:style w:type="character" w:customStyle="1" w:styleId="CharStyle27">
    <w:name w:val="Основной текст + Интервал 3 pt"/>
    <w:basedOn w:val="CharStyle22"/>
    <w:rPr>
      <w:lang w:val="ru-RU" w:eastAsia="ru-RU" w:bidi="ru-RU"/>
      <w:w w:val="100"/>
      <w:spacing w:val="70"/>
      <w:color w:val="000000"/>
      <w:position w:val="0"/>
    </w:rPr>
  </w:style>
  <w:style w:type="character" w:customStyle="1" w:styleId="CharStyle28">
    <w:name w:val="Основной текст"/>
    <w:basedOn w:val="CharStyle22"/>
    <w:rPr>
      <w:lang w:val="ru-RU" w:eastAsia="ru-RU" w:bidi="ru-RU"/>
      <w:u w:val="single"/>
      <w:w w:val="100"/>
      <w:color w:val="000000"/>
      <w:position w:val="0"/>
    </w:rPr>
  </w:style>
  <w:style w:type="character" w:customStyle="1" w:styleId="CharStyle30">
    <w:name w:val="Основной текст (6)_"/>
    <w:basedOn w:val="DefaultParagraphFont"/>
    <w:link w:val="Style29"/>
    <w:rPr>
      <w:b w:val="0"/>
      <w:bCs w:val="0"/>
      <w:i/>
      <w:iCs/>
      <w:u w:val="none"/>
      <w:strike w:val="0"/>
      <w:smallCaps w:val="0"/>
      <w:sz w:val="26"/>
      <w:szCs w:val="26"/>
      <w:rFonts w:ascii="Times New Roman" w:eastAsia="Times New Roman" w:hAnsi="Times New Roman" w:cs="Times New Roman"/>
    </w:rPr>
  </w:style>
  <w:style w:type="character" w:customStyle="1" w:styleId="CharStyle32">
    <w:name w:val="Подпись к таблице_"/>
    <w:basedOn w:val="DefaultParagraphFont"/>
    <w:link w:val="Style31"/>
    <w:rPr>
      <w:b w:val="0"/>
      <w:bCs w:val="0"/>
      <w:i w:val="0"/>
      <w:iCs w:val="0"/>
      <w:u w:val="none"/>
      <w:strike w:val="0"/>
      <w:smallCaps w:val="0"/>
      <w:sz w:val="9"/>
      <w:szCs w:val="9"/>
      <w:rFonts w:ascii="Times New Roman" w:eastAsia="Times New Roman" w:hAnsi="Times New Roman" w:cs="Times New Roman"/>
    </w:rPr>
  </w:style>
  <w:style w:type="character" w:customStyle="1" w:styleId="CharStyle33">
    <w:name w:val="Подпись к таблице + Малые прописные"/>
    <w:basedOn w:val="CharStyle32"/>
    <w:rPr>
      <w:lang w:val="en-US" w:eastAsia="en-US" w:bidi="en-US"/>
      <w:smallCaps/>
      <w:w w:val="100"/>
      <w:spacing w:val="0"/>
      <w:color w:val="000000"/>
      <w:position w:val="0"/>
    </w:rPr>
  </w:style>
  <w:style w:type="character" w:customStyle="1" w:styleId="CharStyle35">
    <w:name w:val="Подпись к таблице (2)_"/>
    <w:basedOn w:val="DefaultParagraphFont"/>
    <w:link w:val="Style34"/>
    <w:rPr>
      <w:b w:val="0"/>
      <w:bCs w:val="0"/>
      <w:i w:val="0"/>
      <w:iCs w:val="0"/>
      <w:u w:val="none"/>
      <w:strike w:val="0"/>
      <w:smallCaps w:val="0"/>
      <w:sz w:val="10"/>
      <w:szCs w:val="10"/>
      <w:rFonts w:ascii="Times New Roman" w:eastAsia="Times New Roman" w:hAnsi="Times New Roman" w:cs="Times New Roman"/>
    </w:rPr>
  </w:style>
  <w:style w:type="character" w:customStyle="1" w:styleId="CharStyle36">
    <w:name w:val="Основной текст + Segoe UI,5 pt,Интервал 0 pt"/>
    <w:basedOn w:val="CharStyle22"/>
    <w:rPr>
      <w:lang w:val="ru-RU" w:eastAsia="ru-RU" w:bidi="ru-RU"/>
      <w:sz w:val="10"/>
      <w:szCs w:val="10"/>
      <w:rFonts w:ascii="Segoe UI" w:eastAsia="Segoe UI" w:hAnsi="Segoe UI" w:cs="Segoe UI"/>
      <w:w w:val="100"/>
      <w:spacing w:val="0"/>
      <w:color w:val="000000"/>
      <w:position w:val="0"/>
    </w:rPr>
  </w:style>
  <w:style w:type="character" w:customStyle="1" w:styleId="CharStyle37">
    <w:name w:val="Основной текст + Segoe UI,5 pt,Курсив,Интервал 0 pt"/>
    <w:basedOn w:val="CharStyle22"/>
    <w:rPr>
      <w:lang w:val="ru-RU" w:eastAsia="ru-RU" w:bidi="ru-RU"/>
      <w:i/>
      <w:iCs/>
      <w:sz w:val="10"/>
      <w:szCs w:val="10"/>
      <w:rFonts w:ascii="Segoe UI" w:eastAsia="Segoe UI" w:hAnsi="Segoe UI" w:cs="Segoe UI"/>
      <w:w w:val="100"/>
      <w:spacing w:val="0"/>
      <w:color w:val="000000"/>
      <w:position w:val="0"/>
    </w:rPr>
  </w:style>
  <w:style w:type="character" w:customStyle="1" w:styleId="CharStyle38">
    <w:name w:val="Основной текст + 4,5 pt,Интервал 0 pt"/>
    <w:basedOn w:val="CharStyle22"/>
    <w:rPr>
      <w:lang w:val="ru-RU" w:eastAsia="ru-RU" w:bidi="ru-RU"/>
      <w:sz w:val="9"/>
      <w:szCs w:val="9"/>
      <w:w w:val="100"/>
      <w:spacing w:val="0"/>
      <w:color w:val="000000"/>
      <w:position w:val="0"/>
    </w:rPr>
  </w:style>
  <w:style w:type="character" w:customStyle="1" w:styleId="CharStyle39">
    <w:name w:val="Основной текст + 4,5 pt,Интервал 0 pt"/>
    <w:basedOn w:val="CharStyle22"/>
    <w:rPr>
      <w:lang w:val="ru-RU" w:eastAsia="ru-RU" w:bidi="ru-RU"/>
      <w:sz w:val="9"/>
      <w:szCs w:val="9"/>
      <w:w w:val="100"/>
      <w:spacing w:val="0"/>
      <w:color w:val="000000"/>
      <w:position w:val="0"/>
    </w:rPr>
  </w:style>
  <w:style w:type="character" w:customStyle="1" w:styleId="CharStyle40">
    <w:name w:val="Основной текст + 10,5 pt,Интервал 0 pt"/>
    <w:basedOn w:val="CharStyle22"/>
    <w:rPr>
      <w:lang w:val="ru-RU" w:eastAsia="ru-RU" w:bidi="ru-RU"/>
      <w:sz w:val="21"/>
      <w:szCs w:val="21"/>
      <w:w w:val="100"/>
      <w:spacing w:val="0"/>
      <w:color w:val="000000"/>
      <w:position w:val="0"/>
    </w:rPr>
  </w:style>
  <w:style w:type="character" w:customStyle="1" w:styleId="CharStyle41">
    <w:name w:val="Основной текст (6) + Не курсив,Интервал 0 pt"/>
    <w:basedOn w:val="CharStyle30"/>
    <w:rPr>
      <w:lang w:val="ru-RU" w:eastAsia="ru-RU" w:bidi="ru-RU"/>
      <w:i/>
      <w:iCs/>
      <w:w w:val="100"/>
      <w:spacing w:val="10"/>
      <w:color w:val="000000"/>
      <w:position w:val="0"/>
    </w:rPr>
  </w:style>
  <w:style w:type="character" w:customStyle="1" w:styleId="CharStyle43">
    <w:name w:val="Заголовок №3_"/>
    <w:basedOn w:val="DefaultParagraphFont"/>
    <w:link w:val="Style42"/>
    <w:rPr>
      <w:b w:val="0"/>
      <w:bCs w:val="0"/>
      <w:i w:val="0"/>
      <w:iCs w:val="0"/>
      <w:u w:val="none"/>
      <w:strike w:val="0"/>
      <w:smallCaps w:val="0"/>
      <w:sz w:val="26"/>
      <w:szCs w:val="26"/>
      <w:rFonts w:ascii="Times New Roman" w:eastAsia="Times New Roman" w:hAnsi="Times New Roman" w:cs="Times New Roman"/>
      <w:spacing w:val="10"/>
    </w:rPr>
  </w:style>
  <w:style w:type="character" w:customStyle="1" w:styleId="CharStyle44">
    <w:name w:val="Заголовок №3 + Интервал 3 pt"/>
    <w:basedOn w:val="CharStyle43"/>
    <w:rPr>
      <w:lang w:val="ru-RU" w:eastAsia="ru-RU" w:bidi="ru-RU"/>
      <w:w w:val="100"/>
      <w:spacing w:val="70"/>
      <w:color w:val="000000"/>
      <w:position w:val="0"/>
    </w:rPr>
  </w:style>
  <w:style w:type="paragraph" w:customStyle="1" w:styleId="Style3">
    <w:name w:val="Основной текст (2)"/>
    <w:basedOn w:val="Normal"/>
    <w:link w:val="CharStyle4"/>
    <w:pPr>
      <w:widowControl w:val="0"/>
      <w:shd w:val="clear" w:color="auto" w:fill="FFFFFF"/>
      <w:jc w:val="center"/>
      <w:spacing w:after="240" w:line="281" w:lineRule="exact"/>
    </w:pPr>
    <w:rPr>
      <w:b/>
      <w:bCs/>
      <w:i w:val="0"/>
      <w:iCs w:val="0"/>
      <w:u w:val="none"/>
      <w:strike w:val="0"/>
      <w:smallCaps w:val="0"/>
      <w:sz w:val="22"/>
      <w:szCs w:val="22"/>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180" w:after="420" w:line="20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both"/>
      <w:outlineLvl w:val="0"/>
      <w:spacing w:before="420" w:after="360" w:line="0" w:lineRule="exact"/>
    </w:pPr>
    <w:rPr>
      <w:b w:val="0"/>
      <w:bCs w:val="0"/>
      <w:i/>
      <w:iCs/>
      <w:u w:val="none"/>
      <w:strike w:val="0"/>
      <w:smallCaps w:val="0"/>
      <w:sz w:val="32"/>
      <w:szCs w:val="32"/>
      <w:rFonts w:ascii="Times New Roman" w:eastAsia="Times New Roman" w:hAnsi="Times New Roman" w:cs="Times New Roman"/>
      <w:spacing w:val="-30"/>
    </w:rPr>
  </w:style>
  <w:style w:type="paragraph" w:customStyle="1" w:styleId="Style14">
    <w:name w:val="Основной текст (4)"/>
    <w:basedOn w:val="Normal"/>
    <w:link w:val="CharStyle15"/>
    <w:pPr>
      <w:widowControl w:val="0"/>
      <w:shd w:val="clear" w:color="auto" w:fill="FFFFFF"/>
      <w:jc w:val="both"/>
      <w:spacing w:before="3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7">
    <w:name w:val="Заголовок №2"/>
    <w:basedOn w:val="Normal"/>
    <w:link w:val="CharStyle18"/>
    <w:pPr>
      <w:widowControl w:val="0"/>
      <w:shd w:val="clear" w:color="auto" w:fill="FFFFFF"/>
      <w:jc w:val="center"/>
      <w:outlineLvl w:val="1"/>
      <w:spacing w:after="60" w:line="0" w:lineRule="exact"/>
    </w:pPr>
    <w:rPr>
      <w:b/>
      <w:bCs/>
      <w:i w:val="0"/>
      <w:iCs w:val="0"/>
      <w:u w:val="none"/>
      <w:strike w:val="0"/>
      <w:smallCaps w:val="0"/>
      <w:sz w:val="30"/>
      <w:szCs w:val="30"/>
      <w:rFonts w:ascii="Segoe UI" w:eastAsia="Segoe UI" w:hAnsi="Segoe UI" w:cs="Segoe UI"/>
    </w:rPr>
  </w:style>
  <w:style w:type="paragraph" w:customStyle="1" w:styleId="Style21">
    <w:name w:val="Основной текст"/>
    <w:basedOn w:val="Normal"/>
    <w:link w:val="CharStyle22"/>
    <w:pPr>
      <w:widowControl w:val="0"/>
      <w:shd w:val="clear" w:color="auto" w:fill="FFFFFF"/>
      <w:spacing w:before="960" w:line="320" w:lineRule="exact"/>
    </w:pPr>
    <w:rPr>
      <w:b w:val="0"/>
      <w:bCs w:val="0"/>
      <w:i w:val="0"/>
      <w:iCs w:val="0"/>
      <w:u w:val="none"/>
      <w:strike w:val="0"/>
      <w:smallCaps w:val="0"/>
      <w:sz w:val="26"/>
      <w:szCs w:val="26"/>
      <w:rFonts w:ascii="Times New Roman" w:eastAsia="Times New Roman" w:hAnsi="Times New Roman" w:cs="Times New Roman"/>
      <w:spacing w:val="10"/>
    </w:rPr>
  </w:style>
  <w:style w:type="paragraph" w:customStyle="1" w:styleId="Style25">
    <w:name w:val="Основной текст (5)"/>
    <w:basedOn w:val="Normal"/>
    <w:link w:val="CharStyle26"/>
    <w:pPr>
      <w:widowControl w:val="0"/>
      <w:shd w:val="clear" w:color="auto" w:fill="FFFFFF"/>
      <w:jc w:val="center"/>
      <w:spacing w:after="300" w:line="324" w:lineRule="exact"/>
    </w:pPr>
    <w:rPr>
      <w:b/>
      <w:bCs/>
      <w:i w:val="0"/>
      <w:iCs w:val="0"/>
      <w:u w:val="none"/>
      <w:strike w:val="0"/>
      <w:smallCaps w:val="0"/>
      <w:rFonts w:ascii="Times New Roman" w:eastAsia="Times New Roman" w:hAnsi="Times New Roman" w:cs="Times New Roman"/>
      <w:spacing w:val="10"/>
    </w:rPr>
  </w:style>
  <w:style w:type="paragraph" w:customStyle="1" w:styleId="Style29">
    <w:name w:val="Основной текст (6)"/>
    <w:basedOn w:val="Normal"/>
    <w:link w:val="CharStyle30"/>
    <w:pPr>
      <w:widowControl w:val="0"/>
      <w:shd w:val="clear" w:color="auto" w:fill="FFFFFF"/>
      <w:jc w:val="both"/>
      <w:spacing w:line="320"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31">
    <w:name w:val="Подпись к таблице"/>
    <w:basedOn w:val="Normal"/>
    <w:link w:val="CharStyle32"/>
    <w:pPr>
      <w:widowControl w:val="0"/>
      <w:shd w:val="clear" w:color="auto" w:fill="FFFFFF"/>
      <w:jc w:val="both"/>
      <w:spacing w:line="346"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34">
    <w:name w:val="Подпись к таблице (2)"/>
    <w:basedOn w:val="Normal"/>
    <w:link w:val="CharStyle35"/>
    <w:pPr>
      <w:widowControl w:val="0"/>
      <w:shd w:val="clear" w:color="auto" w:fill="FFFFFF"/>
      <w:jc w:val="both"/>
      <w:spacing w:line="346" w:lineRule="exact"/>
    </w:pPr>
    <w:rPr>
      <w:b w:val="0"/>
      <w:bCs w:val="0"/>
      <w:i w:val="0"/>
      <w:iCs w:val="0"/>
      <w:u w:val="none"/>
      <w:strike w:val="0"/>
      <w:smallCaps w:val="0"/>
      <w:sz w:val="10"/>
      <w:szCs w:val="10"/>
      <w:rFonts w:ascii="Times New Roman" w:eastAsia="Times New Roman" w:hAnsi="Times New Roman" w:cs="Times New Roman"/>
    </w:rPr>
  </w:style>
  <w:style w:type="paragraph" w:customStyle="1" w:styleId="Style42">
    <w:name w:val="Заголовок №3"/>
    <w:basedOn w:val="Normal"/>
    <w:link w:val="CharStyle43"/>
    <w:pPr>
      <w:widowControl w:val="0"/>
      <w:shd w:val="clear" w:color="auto" w:fill="FFFFFF"/>
      <w:outlineLvl w:val="2"/>
      <w:spacing w:before="240" w:after="360" w:line="0" w:lineRule="exact"/>
    </w:pPr>
    <w:rPr>
      <w:b w:val="0"/>
      <w:bCs w:val="0"/>
      <w:i w:val="0"/>
      <w:iCs w:val="0"/>
      <w:u w:val="none"/>
      <w:strike w:val="0"/>
      <w:smallCaps w:val="0"/>
      <w:sz w:val="26"/>
      <w:szCs w:val="26"/>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