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7" w:line="260" w:lineRule="exact"/>
        <w:ind w:left="5340" w:right="0" w:firstLine="0"/>
      </w:pPr>
      <w:r>
        <w:rPr>
          <w:lang w:val="ru-RU" w:eastAsia="ru-RU" w:bidi="ru-RU"/>
          <w:w w:val="100"/>
          <w:spacing w:val="0"/>
          <w:color w:val="000000"/>
          <w:position w:val="0"/>
        </w:rPr>
        <w:t>ППК «Единый заказчик»</w:t>
      </w:r>
    </w:p>
    <w:p>
      <w:pPr>
        <w:pStyle w:val="Style5"/>
        <w:widowControl w:val="0"/>
        <w:keepNext w:val="0"/>
        <w:keepLines w:val="0"/>
        <w:shd w:val="clear" w:color="auto" w:fill="auto"/>
        <w:bidi w:val="0"/>
        <w:jc w:val="left"/>
        <w:spacing w:before="0" w:after="346" w:line="317" w:lineRule="exact"/>
        <w:ind w:left="5340" w:right="460" w:firstLine="0"/>
      </w:pPr>
      <w:r>
        <w:rPr>
          <w:lang w:val="ru-RU" w:eastAsia="ru-RU" w:bidi="ru-RU"/>
          <w:w w:val="100"/>
          <w:spacing w:val="0"/>
          <w:color w:val="000000"/>
          <w:position w:val="0"/>
        </w:rPr>
        <w:t>ул. Садовая-Самотечная, д. 10, стр. 1, г. Москва, 127051</w:t>
      </w:r>
    </w:p>
    <w:p>
      <w:pPr>
        <w:pStyle w:val="Style5"/>
        <w:widowControl w:val="0"/>
        <w:keepNext w:val="0"/>
        <w:keepLines w:val="0"/>
        <w:shd w:val="clear" w:color="auto" w:fill="auto"/>
        <w:bidi w:val="0"/>
        <w:jc w:val="left"/>
        <w:spacing w:before="0" w:after="303" w:line="260" w:lineRule="exact"/>
        <w:ind w:left="5340" w:right="0" w:firstLine="0"/>
      </w:pPr>
      <w:r>
        <w:rPr>
          <w:lang w:val="ru-RU" w:eastAsia="ru-RU" w:bidi="ru-RU"/>
          <w:w w:val="100"/>
          <w:spacing w:val="0"/>
          <w:color w:val="000000"/>
          <w:position w:val="0"/>
        </w:rPr>
        <w:t>ООО «Севкавгипроводхоз»</w:t>
      </w:r>
    </w:p>
    <w:p>
      <w:pPr>
        <w:pStyle w:val="Style5"/>
        <w:widowControl w:val="0"/>
        <w:keepNext w:val="0"/>
        <w:keepLines w:val="0"/>
        <w:shd w:val="clear" w:color="auto" w:fill="auto"/>
        <w:bidi w:val="0"/>
        <w:jc w:val="left"/>
        <w:spacing w:before="0" w:after="1500" w:line="322" w:lineRule="exact"/>
        <w:ind w:left="5340" w:right="460" w:firstLine="0"/>
      </w:pPr>
      <w:r>
        <w:rPr>
          <w:lang w:val="ru-RU" w:eastAsia="ru-RU" w:bidi="ru-RU"/>
          <w:w w:val="100"/>
          <w:spacing w:val="0"/>
          <w:color w:val="000000"/>
          <w:position w:val="0"/>
        </w:rPr>
        <w:t>ул. Ипподромная, д. 7, стр. 1, г. Пятигорск, 357528</w:t>
      </w:r>
    </w:p>
    <w:p>
      <w:pPr>
        <w:pStyle w:val="Style7"/>
        <w:tabs>
          <w:tab w:leader="none" w:pos="11347" w:val="right"/>
          <w:tab w:leader="none" w:pos="12403" w:val="right"/>
        </w:tabs>
        <w:widowControl w:val="0"/>
        <w:keepNext w:val="0"/>
        <w:keepLines w:val="0"/>
        <w:shd w:val="clear" w:color="auto" w:fill="auto"/>
        <w:bidi w:val="0"/>
        <w:jc w:val="left"/>
        <w:spacing w:before="0" w:after="0"/>
        <w:ind w:left="2280" w:right="2260" w:firstLine="2120"/>
      </w:pPr>
      <w:r>
        <w:rPr>
          <w:lang w:val="ru-RU" w:eastAsia="ru-RU" w:bidi="ru-RU"/>
          <w:w w:val="100"/>
          <w:spacing w:val="0"/>
          <w:color w:val="000000"/>
          <w:position w:val="0"/>
        </w:rPr>
        <w:t>РЕШЕНИЕ по делу №077/06/106-19508/2021 о нарушении законодательства о контрактной системе</w:t>
      </w:r>
    </w:p>
    <w:p>
      <w:pPr>
        <w:pStyle w:val="Style7"/>
        <w:numPr>
          <w:ilvl w:val="0"/>
          <w:numId w:val="1"/>
        </w:numPr>
        <w:tabs>
          <w:tab w:leader="none" w:pos="9107" w:val="right"/>
          <w:tab w:leader="none" w:pos="10163" w:val="right"/>
          <w:tab w:leader="none" w:pos="8963" w:val="left"/>
        </w:tabs>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г.</w:t>
        <w:tab/>
        <w:t>Москва</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при участии представителя ППК «Единый заказчик»: Н.А. Доброхотовой (по дов. №ППК-5-435/21 от 21.09.2021),</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в отсутствие представителей ООО «Севкавгипроводхоз», о времени и порядке заседания Комиссии Управления уведомлены надлежащим образом письмом Московского УФАС России от 29.10.2021 № ЕИ/66786/21,</w:t>
      </w:r>
    </w:p>
    <w:p>
      <w:pPr>
        <w:pStyle w:val="Style5"/>
        <w:tabs>
          <w:tab w:leader="none" w:pos="5642" w:val="left"/>
        </w:tabs>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рассмотрев жалобу ООО «Севкавгипроводхоз» (далее — Заявитель) на действия ППК «Единый заказчик» (далее — Заказчик) при проведении запроса предложений в электронной форме на право заключения государственного контракта на выполнение работ по проектированию, реконструкции и вводу в эксплуатацию объекта капитального строительства:</w:t>
        <w:tab/>
        <w:t>«Берегоукрепительные сооружения</w:t>
      </w:r>
    </w:p>
    <w:p>
      <w:pPr>
        <w:pStyle w:val="Style3"/>
        <w:framePr w:w="1685" w:h="394" w:wrap="around" w:vAnchor="text" w:hAnchor="margin" w:x="385" w:y="471"/>
        <w:widowControl w:val="0"/>
        <w:keepNext w:val="0"/>
        <w:keepLines w:val="0"/>
        <w:shd w:val="clear" w:color="auto" w:fill="auto"/>
        <w:bidi w:val="0"/>
        <w:jc w:val="left"/>
        <w:spacing w:before="0" w:after="0" w:line="240" w:lineRule="auto"/>
        <w:ind w:left="0" w:right="0" w:firstLine="0"/>
      </w:pPr>
      <w:r>
        <w:rPr>
          <w:w w:val="100"/>
          <w:spacing w:val="0"/>
          <w:color w:val="000000"/>
          <w:position w:val="0"/>
        </w:rPr>
        <w:t>000238689822</w:t>
      </w:r>
    </w:p>
    <w:p>
      <w:pPr>
        <w:pStyle w:val="Style5"/>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Государственного Никитского ботанического сада на участке от м. Монтодор до</w:t>
      </w:r>
      <w:r>
        <w:br w:type="page"/>
      </w:r>
    </w:p>
    <w:p>
      <w:pPr>
        <w:pStyle w:val="Style5"/>
        <w:widowControl w:val="0"/>
        <w:keepNext w:val="0"/>
        <w:keepLines w:val="0"/>
        <w:shd w:val="clear" w:color="auto" w:fill="auto"/>
        <w:bidi w:val="0"/>
        <w:jc w:val="both"/>
        <w:spacing w:before="0" w:after="300" w:line="322" w:lineRule="exact"/>
        <w:ind w:left="20" w:right="20" w:firstLine="0"/>
      </w:pPr>
      <w:r>
        <w:rPr>
          <w:lang w:val="ru-RU" w:eastAsia="ru-RU" w:bidi="ru-RU"/>
          <w:w w:val="100"/>
          <w:spacing w:val="0"/>
          <w:color w:val="000000"/>
          <w:position w:val="0"/>
        </w:rPr>
        <w:t>мыса Мартьян поселка городского типа Массандра, Республика Крым» (Закупка № 0995400000221000042) (далее — запрос предложений)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9"/>
        <w:widowControl w:val="0"/>
        <w:keepNext/>
        <w:keepLines/>
        <w:shd w:val="clear" w:color="auto" w:fill="auto"/>
        <w:bidi w:val="0"/>
        <w:spacing w:before="0" w:after="0"/>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запроса предложений.</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от 29.10.2021 №ЕИ/66786/21 документы и сведения.</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numPr>
          <w:ilvl w:val="0"/>
          <w:numId w:val="3"/>
        </w:numPr>
        <w:tabs>
          <w:tab w:leader="none" w:pos="1479"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доводу Заявителя Заказчиком ненадлежащим образом установлены единые требования к участникам закупки, поскольку в документации о запросе предложений в электронной форме отсутствует форма по заполнению предложения на участие в электронной процедуре.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п. 3 ч. 6 ст. 83.1 Закона о контрактной системе одновременно с размещением извещения о проведении запроса предложений в электронной форме заказчик размещает в единой информационной системе утвержденную заказчиком документацию о проведении такого запроса, которая должна содержать требования к содержанию, в том числе составу, форме заявок на участие в запросе предложений в электронной форме и инструкцию по их заполнению. При этом не допускается установление требований, влекущих за собой ограничение количества участников такого запроса или доступа к участию в таком запросе.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 7 ч. 9 ст. 83.1 Закона о контрактной системе заявка на участие в запросе предложений в электронной форме должна содержать предложение участника запроса предложений в электронной форме об условиях исполнения контракта в соответствии с требованиями, указанными в документации о проведении запроса предложений в электронной форме.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 5 ст. 24.1 Закона о контрактной системе Правительство Российской Федерации вправе определить типовую форму заявки на участие в электронных процедурах, закрытых электронных процедурах, а также вправе установить требования к содержанию, составу, порядку разработки типовой документации о закупке. Такие типовая заявка, типовая документация обязательны для применения заказчиками и (или) участниками закупки.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Постановлением Правительства Российской Федерации от 05.11.2019 № 1401 «О типовых формах заявок на участие в электронных процедурах, закрытых электронных процедурах, требованиях к содержанию, составу, порядку разработки типовой документации о закупке и внесении изменения в дополнительные требования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 (далее - Постановление № 1401) установлены типовые формы заявок на участие в электронных процедурах.</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пункту 23.1 информационной карты документации о Запросе предложений заявка на участие в запросе предложений должна содержать предложение участника запроса предложений в электронной форме об условиях исполнения контракта в соответствии с требованиями, указанными в документации о проведении запроса предложений в электронной форме.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п. 7 ч. 6 ст. 83.1 Закона о контрактной системе одновременно с размещением извещения о проведении запроса предложений в электронной форме заказчик размещает в единой информационной системе утвержденную заказчиком документацию о проведении такого запроса, которая должна содержать критерии оценки заявок на участие в запросе предложений в электронной форме, величины значимости этих критериев, порядок рассмотрения и оценки таких заявок в соответствии с Законом о контрактной системе.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 4 Правил для оценки заявок (предложений) заказчик устанавливает в документации о закупке следующие критерии оценки: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а) характеризующиеся как стоимостные критерии оценки: цена контракта или сумма цен единиц товара, работы, услуги; расходы на эксплуатацию и ремонт товаров (объектов), использование результатов работ; стоимость жизненного цикла товара (объекта), созданного в результате выполнения работы в случаях, предусмотренных пунктом 5 Постановления № 1085 (далее - стоимость жизненного цикла); предложение о сумме соответствующих расходов заказчика, которые заказчик осуществит или понесет по энергосервисному контракту;</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 характеризующиеся как нестоимостные критерии оценки: качественные, функциональные и экологические характеристики объекта закупки;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документации о проведении Запроса предложений установлен следующий порядок оценки заявок:</w:t>
      </w:r>
    </w:p>
    <w:p>
      <w:pPr>
        <w:pStyle w:val="Style5"/>
        <w:numPr>
          <w:ilvl w:val="0"/>
          <w:numId w:val="5"/>
        </w:numPr>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критерий «Цена контракта» - значимость критерия 60 %;</w:t>
      </w:r>
    </w:p>
    <w:p>
      <w:pPr>
        <w:pStyle w:val="Style5"/>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Критерий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 значимость критерия 40 %.</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ч.2 ст.106 Закона о контрактной системе лица, права и</w:t>
      </w:r>
      <w:r>
        <w:rPr>
          <w:lang w:val="ru-RU" w:eastAsia="ru-RU" w:bidi="ru-RU"/>
          <w:w w:val="100"/>
          <w:spacing w:val="0"/>
          <w:color w:val="000000"/>
          <w:position w:val="0"/>
        </w:rPr>
        <w:t xml:space="preserve"> законные интересы которых непосредственно затрагиваются в результате </w:t>
      </w:r>
      <w:r>
        <w:rPr>
          <w:lang w:val="ru-RU" w:eastAsia="ru-RU" w:bidi="ru-RU"/>
          <w:w w:val="100"/>
          <w:spacing w:val="0"/>
          <w:color w:val="000000"/>
          <w:position w:val="0"/>
        </w:rPr>
        <w:t>рассмотрения жалобы, вправе направить в контрольный орган в сфере закупок</w:t>
      </w:r>
      <w:r>
        <w:rPr>
          <w:lang w:val="ru-RU" w:eastAsia="ru-RU" w:bidi="ru-RU"/>
          <w:w w:val="100"/>
          <w:spacing w:val="0"/>
          <w:color w:val="000000"/>
          <w:position w:val="0"/>
        </w:rPr>
        <w:t xml:space="preserve"> возражения на жалобу и участвовать в ее рассмотрении лично или через своих </w:t>
      </w:r>
      <w:r>
        <w:rPr>
          <w:lang w:val="ru-RU" w:eastAsia="ru-RU" w:bidi="ru-RU"/>
          <w:w w:val="100"/>
          <w:spacing w:val="0"/>
          <w:color w:val="000000"/>
          <w:position w:val="0"/>
        </w:rPr>
        <w:t>представителей.</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требования к составу заявки на участие в запросе предложений установлены, в том числе, в соответствии с требованиями п.7 ч.9 ст.83.1 Закона о контрактной системе, положениями которого предусмотрена необходимость предложения участником закупки информации об условиях исполнения контракта, которое согласно Постановлению № 1401 относится к предложение о цене контракта, сумме цен единиц товара, работы, услуги.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вышеуказанной нормы обязанность доказывания нарушения Заказчиком, комиссией Заказчика своих прав и законных интересов лежит на подателе жалобы.</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тем в заседании Комиссии Управления Заявитель участие не принял, а также в составе жалобы Заявителем не представлено документов, подтверждающих обоснованность данного довода жалобы, а также свидетельствующих о нарушении Заказчиком норм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с учетом пояснений представителя Заказчика, Комиссия Управления приходит к выводу, что данный довод Заявителя не нашел своего подтверждения и является необоснованным.</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2. Также, по мнению Заявителя, Заказчиками неправомерно выбран способ определения исполнителя путем проведения запроса предложений в электронной форме.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 1 ст.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Часть 2 статьи 8 Закона о контрактной системе предусматривает,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w:t>
      </w:r>
      <w:r>
        <w:rPr>
          <w:rStyle w:val="CharStyle11"/>
        </w:rPr>
        <w:t>ши</w:t>
      </w:r>
      <w:r>
        <w:rPr>
          <w:lang w:val="ru-RU" w:eastAsia="ru-RU" w:bidi="ru-RU"/>
          <w:w w:val="100"/>
          <w:spacing w:val="0"/>
          <w:color w:val="000000"/>
          <w:position w:val="0"/>
        </w:rPr>
        <w:t>х условий поставок товаров, выполнения работ, оказания услуг.</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Под определением поставщика (подрядчика, исполнителя) в статье 3 Закона о контрактной системе понимается совокупность действий, которые осуществляются заказчиками в порядке, установленном Законом о контрактной системе,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названным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ч.1 ст.24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ч.2 ст.24 Закона о контрактной системе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ч. 3 ст. 84.1 Закона о контрактной системе,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Ч.5 ст.24 Закона о контрактной системе установлено, что Заказчик выбирает способ определения поставщика (подрядчика, исполнителя) в соответствии с положениями Закона о контрактной системе, при этом он не вправе совершать действия, влекущие за собой необоснованное сокращение числа участников закупки.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 56 ст. 112 Закона о контрактной системе в случае, предусмотренном ч. 55 Закона о контрактной системе,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Распоряжением Правительства Российской Федерации от 06.10.2021 №2821-р внесены изменения в перечень объектов капитального строительства, в целях архитектурно-строительного проектирования, строительства, реконструкции, капитального ремонта которых применяются особенности осуществления закупок и исполнения контрактов, предусмотренные ч. 56-63 статьи 112 Закона о контрактной системе, утвержденный распоряжением Правительства Российской Федерации от 27 октября 2020 г. №2788-р (далее-Перечень).</w:t>
      </w:r>
    </w:p>
    <w:p>
      <w:pPr>
        <w:pStyle w:val="Style5"/>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При этом пунктом 2 Распоряжения Правительства Российской Федерации от</w:t>
      </w:r>
    </w:p>
    <w:p>
      <w:pPr>
        <w:pStyle w:val="Style5"/>
        <w:numPr>
          <w:ilvl w:val="0"/>
          <w:numId w:val="7"/>
        </w:numPr>
        <w:tabs>
          <w:tab w:leader="none" w:pos="1398"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№2821-р установлено, что закупка, по результатам которой заключается контракт, предметом которого является выполнение предусмотренных ч. 56 ст. 112 Закона о контрактной системе в отношении объектов капитального строительства, указанных в пунктах 18 и 19 перечня объектов капитального строительства, в целях архитектурно-строительного проектирования, строительства, реконструкции, капитального ремонта которых применяются особенности осуществления закупок и исполнения контрактов, предусмотренные ч. 56 - 63 ст. 112 Закона о контрактной системе, утвержденного распоряжением Правительства Российской Федерации от 27 октября 2020 г. № 2788-р, осуществляется путем проведения запроса предложений в электронной форме, в том числе с указанием в извещении об осуществлении закупки информации, предусмотренной п. 7 ст. 42 Закона о контрактной системе, в том числе следующего объекта: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«18. Берегоукрепительные сооружения Государственного Никитского ботанического сада на участке от м. Монтодор до мыса Мартьян, поселка городского типа Массандра, Республика Крым».</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согласно п.50 информационной карты документации о проведении запроса предложений в электронной форме: «Закупка проводится в соответствии со статьей 111 Закона о контрактной системе на основании Распоряжения Правительства РФ № 2821-р от 06.10.2021, а также в соответствии с частью 16 статьи 34 Закона о контрактной системе и Постановлением Правительства РФ от 28.11.2013 № 1087 «Об определении случаев заключения контракта жизненного цикла».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способ осуществления закупки путем проведения запроса предложений в электронной форме установлен Заказчиком на основании Распоряжения Правительства Российской Федерации от 06.10.2021 №2821-р.</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Комиссия Управления приходит к выводу, что довод Заявителя жалобы не нашел своего подтверждения и является необоснованным.</w:t>
      </w:r>
    </w:p>
    <w:p>
      <w:pPr>
        <w:pStyle w:val="Style7"/>
        <w:widowControl w:val="0"/>
        <w:keepNext w:val="0"/>
        <w:keepLines w:val="0"/>
        <w:shd w:val="clear" w:color="auto" w:fill="auto"/>
        <w:bidi w:val="0"/>
        <w:jc w:val="center"/>
        <w:spacing w:before="0" w:after="304" w:line="260" w:lineRule="exact"/>
        <w:ind w:left="20" w:right="0" w:firstLine="0"/>
      </w:pPr>
      <w:r>
        <w:rPr>
          <w:rStyle w:val="CharStyle12"/>
          <w:b/>
          <w:bCs/>
        </w:rPr>
        <w:t>РЕШИЛА:</w:t>
      </w:r>
    </w:p>
    <w:p>
      <w:pPr>
        <w:pStyle w:val="Style5"/>
        <w:numPr>
          <w:ilvl w:val="0"/>
          <w:numId w:val="9"/>
        </w:numPr>
        <w:widowControl w:val="0"/>
        <w:keepNext w:val="0"/>
        <w:keepLines w:val="0"/>
        <w:shd w:val="clear" w:color="auto" w:fill="auto"/>
        <w:bidi w:val="0"/>
        <w:jc w:val="both"/>
        <w:spacing w:before="0" w:after="0" w:line="326" w:lineRule="exact"/>
        <w:ind w:left="0" w:right="20" w:firstLine="700"/>
      </w:pPr>
      <w:r>
        <w:rPr>
          <w:lang w:val="ru-RU" w:eastAsia="ru-RU" w:bidi="ru-RU"/>
          <w:w w:val="100"/>
          <w:spacing w:val="0"/>
          <w:color w:val="000000"/>
          <w:position w:val="0"/>
        </w:rPr>
        <w:t xml:space="preserve"> Признать жалобу ООО «Севкавгипроводхоз» на действия ППК «Единый заказчик» необоснованной.</w:t>
      </w:r>
    </w:p>
    <w:p>
      <w:pPr>
        <w:pStyle w:val="Style5"/>
        <w:numPr>
          <w:ilvl w:val="0"/>
          <w:numId w:val="9"/>
        </w:numPr>
        <w:widowControl w:val="0"/>
        <w:keepNext w:val="0"/>
        <w:keepLines w:val="0"/>
        <w:shd w:val="clear" w:color="auto" w:fill="auto"/>
        <w:bidi w:val="0"/>
        <w:jc w:val="both"/>
        <w:spacing w:before="0" w:after="300" w:line="322" w:lineRule="exact"/>
        <w:ind w:left="0" w:right="20" w:firstLine="70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от 29.10.2021 № ЕИ/66786/21.</w:t>
      </w:r>
    </w:p>
    <w:p>
      <w:pPr>
        <w:pStyle w:val="Style5"/>
        <w:widowControl w:val="0"/>
        <w:keepNext w:val="0"/>
        <w:keepLines w:val="0"/>
        <w:shd w:val="clear" w:color="auto" w:fill="auto"/>
        <w:bidi w:val="0"/>
        <w:jc w:val="both"/>
        <w:spacing w:before="0" w:after="43" w:line="322" w:lineRule="exact"/>
        <w:ind w:left="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9005" w:val="center"/>
          <w:tab w:leader="none" w:pos="1013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К.А.</w:t>
        <w:tab/>
        <w:t>Сомов</w:t>
      </w:r>
    </w:p>
    <w:p>
      <w:pPr>
        <w:pStyle w:val="Style5"/>
        <w:tabs>
          <w:tab w:leader="none" w:pos="8707" w:val="center"/>
          <w:tab w:leader="none" w:pos="1013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А.З.</w:t>
        <w:tab/>
        <w:t>Касимова</w:t>
      </w:r>
    </w:p>
    <w:p>
      <w:pPr>
        <w:pStyle w:val="Style5"/>
        <w:widowControl w:val="0"/>
        <w:keepNext w:val="0"/>
        <w:keepLines w:val="0"/>
        <w:shd w:val="clear" w:color="auto" w:fill="auto"/>
        <w:bidi w:val="0"/>
        <w:jc w:val="right"/>
        <w:spacing w:before="0" w:after="7294" w:line="643" w:lineRule="exact"/>
        <w:ind w:left="0" w:right="20" w:firstLine="0"/>
      </w:pPr>
      <w:r>
        <w:rPr>
          <w:lang w:val="ru-RU" w:eastAsia="ru-RU" w:bidi="ru-RU"/>
          <w:w w:val="100"/>
          <w:spacing w:val="0"/>
          <w:color w:val="000000"/>
          <w:position w:val="0"/>
        </w:rPr>
        <w:t>А.А. Кутейников</w:t>
      </w:r>
    </w:p>
    <w:p>
      <w:pPr>
        <w:pStyle w:val="Style13"/>
        <w:widowControl w:val="0"/>
        <w:keepNext w:val="0"/>
        <w:keepLines w:val="0"/>
        <w:shd w:val="clear" w:color="auto" w:fill="auto"/>
        <w:bidi w:val="0"/>
        <w:jc w:val="left"/>
        <w:spacing w:before="0" w:after="0"/>
        <w:ind w:left="0" w:right="8400" w:firstLine="0"/>
      </w:pPr>
      <w:r>
        <w:rPr>
          <w:lang w:val="ru-RU" w:eastAsia="ru-RU" w:bidi="ru-RU"/>
          <w:w w:val="100"/>
          <w:spacing w:val="0"/>
          <w:color w:val="000000"/>
          <w:position w:val="0"/>
        </w:rPr>
        <w:t>Исп. Касимова А.З. Тел. 8-495-784-75-05</w:t>
      </w:r>
    </w:p>
    <w:sectPr>
      <w:footnotePr>
        <w:pos w:val="pageBottom"/>
        <w:numFmt w:val="decimal"/>
        <w:numRestart w:val="continuous"/>
      </w:footnotePr>
      <w:type w:val="continuous"/>
      <w:pgSz w:w="11906" w:h="16838"/>
      <w:pgMar w:top="1118" w:left="843" w:right="819"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0.11.%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06.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6"/>
    <w:rPr>
      <w:lang w:val="ru-RU" w:eastAsia="ru-RU" w:bidi="ru-RU"/>
      <w:u w:val="single"/>
      <w:w w:val="100"/>
      <w:spacing w:val="0"/>
      <w:color w:val="000000"/>
      <w:position w:val="0"/>
    </w:rPr>
  </w:style>
  <w:style w:type="character" w:customStyle="1" w:styleId="CharStyle12">
    <w:name w:val="Основной текст (2) + Интервал 3 pt"/>
    <w:basedOn w:val="CharStyle8"/>
    <w:rPr>
      <w:lang w:val="ru-RU" w:eastAsia="ru-RU" w:bidi="ru-RU"/>
      <w:w w:val="100"/>
      <w:spacing w:val="60"/>
      <w:color w:val="000000"/>
      <w:position w:val="0"/>
    </w:rPr>
  </w:style>
  <w:style w:type="character" w:customStyle="1" w:styleId="CharStyle14">
    <w:name w:val="Основной текст (3)_"/>
    <w:basedOn w:val="DefaultParagraphFont"/>
    <w:link w:val="Style13"/>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5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spacing w:before="6960" w:line="226"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Список документов</dc:title>
  <dc:subject/>
  <dc:creator/>
  <cp:keywords/>
</cp:coreProperties>
</file>