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60" w:right="2200" w:firstLine="0"/>
      </w:pPr>
      <w:r>
        <w:rPr>
          <w:lang w:val="ru-RU" w:eastAsia="ru-RU" w:bidi="ru-RU"/>
          <w:w w:val="100"/>
          <w:spacing w:val="0"/>
          <w:color w:val="000000"/>
          <w:position w:val="0"/>
        </w:rPr>
        <w:t xml:space="preserve">ФГУП ГЦСС 129626, г.Москва, 1-я Мытищинская ул., д.17 </w:t>
      </w:r>
      <w:r>
        <w:fldChar w:fldCharType="begin"/>
      </w:r>
      <w:r>
        <w:rPr>
          <w:color w:val="000000"/>
        </w:rPr>
        <w:instrText> HYPERLINK "mailto:A.Valikova@cccb.ru" </w:instrText>
      </w:r>
      <w:r>
        <w:fldChar w:fldCharType="separate"/>
      </w:r>
      <w:r>
        <w:rPr>
          <w:rStyle w:val="Hyperlink"/>
          <w:lang w:val="en-US" w:eastAsia="en-US" w:bidi="en-US"/>
          <w:w w:val="100"/>
          <w:spacing w:val="0"/>
          <w:position w:val="0"/>
        </w:rPr>
        <w:t>A.Valikova@cccb.ru</w:t>
      </w:r>
      <w:r>
        <w:fldChar w:fldCharType="end"/>
      </w:r>
    </w:p>
    <w:p>
      <w:pPr>
        <w:pStyle w:val="Style5"/>
        <w:widowControl w:val="0"/>
        <w:keepNext w:val="0"/>
        <w:keepLines w:val="0"/>
        <w:shd w:val="clear" w:color="auto" w:fill="auto"/>
        <w:bidi w:val="0"/>
        <w:jc w:val="left"/>
        <w:spacing w:before="0" w:after="2040"/>
        <w:ind w:left="5360" w:right="20" w:firstLine="0"/>
      </w:pPr>
      <w:r>
        <w:rPr>
          <w:lang w:val="ru-RU" w:eastAsia="ru-RU" w:bidi="ru-RU"/>
          <w:w w:val="100"/>
          <w:spacing w:val="0"/>
          <w:color w:val="000000"/>
          <w:position w:val="0"/>
        </w:rPr>
        <w:t xml:space="preserve">ООО «ТРЕЙД КОНСАЛТ АУДИТ» 109431, г.Москва, ул. Авиаконструктора Миля, д. 15, корп. 1, кв. 132 </w:t>
      </w:r>
      <w:r>
        <w:fldChar w:fldCharType="begin"/>
      </w:r>
      <w:r>
        <w:rPr>
          <w:color w:val="000000"/>
        </w:rPr>
        <w:instrText> HYPERLINK "mailto:rulev2008@mail.ru" </w:instrText>
      </w:r>
      <w:r>
        <w:fldChar w:fldCharType="separate"/>
      </w:r>
      <w:r>
        <w:rPr>
          <w:rStyle w:val="Hyperlink"/>
          <w:lang w:val="en-US" w:eastAsia="en-US" w:bidi="en-US"/>
          <w:w w:val="100"/>
          <w:spacing w:val="0"/>
          <w:position w:val="0"/>
        </w:rPr>
        <w:t>rulev2008@mail.ru</w:t>
      </w:r>
      <w:r>
        <w:fldChar w:fldCharType="end"/>
      </w:r>
    </w:p>
    <w:p>
      <w:pPr>
        <w:pStyle w:val="Style7"/>
        <w:tabs>
          <w:tab w:leader="none" w:pos="8911" w:val="left"/>
        </w:tabs>
        <w:widowControl w:val="0"/>
        <w:keepNext w:val="0"/>
        <w:keepLines w:val="0"/>
        <w:shd w:val="clear" w:color="auto" w:fill="auto"/>
        <w:bidi w:val="0"/>
        <w:jc w:val="left"/>
        <w:spacing w:before="0" w:after="0"/>
        <w:ind w:left="60" w:right="20"/>
      </w:pPr>
      <w:r>
        <w:rPr>
          <w:lang w:val="ru-RU" w:eastAsia="ru-RU" w:bidi="ru-RU"/>
          <w:w w:val="100"/>
          <w:spacing w:val="0"/>
          <w:color w:val="000000"/>
          <w:position w:val="0"/>
        </w:rPr>
        <w:t>РЕШЕНИЕ по делу №077/06/106-19635/2021 о нарушении законодательства о контрактной системе 10.11.2021</w:t>
        <w:tab/>
        <w:t>г. Москва</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ind w:left="6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636" w:val="left"/>
        </w:tabs>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ind w:left="6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при участии представителей ФГУП ГЦСС: А.А. Евставфиева (по доверенности от 25.11.2021 №11/21), С.А. Матвеева (по доверенности от 08.11.2021№453/21),</w:t>
      </w:r>
    </w:p>
    <w:p>
      <w:pPr>
        <w:pStyle w:val="Style5"/>
        <w:widowControl w:val="0"/>
        <w:keepNext w:val="0"/>
        <w:keepLines w:val="0"/>
        <w:shd w:val="clear" w:color="auto" w:fill="auto"/>
        <w:bidi w:val="0"/>
        <w:jc w:val="both"/>
        <w:spacing w:before="0" w:after="0" w:line="302" w:lineRule="exact"/>
        <w:ind w:left="60" w:right="20" w:firstLine="680"/>
      </w:pPr>
      <w:r>
        <w:rPr>
          <w:lang w:val="ru-RU" w:eastAsia="ru-RU" w:bidi="ru-RU"/>
          <w:w w:val="100"/>
          <w:spacing w:val="0"/>
          <w:color w:val="000000"/>
          <w:position w:val="0"/>
        </w:rPr>
        <w:t>в отсутствие представителей ООО «ТРЕЙД КОНСАЛТ АУДИТ», о времени и порядке заседания Комиссии уведомленных надлежащим образом письмом Московского УФАС России исх. № ЕИ/67177/21 от 02.11.2021,</w:t>
      </w:r>
    </w:p>
    <w:p>
      <w:pPr>
        <w:pStyle w:val="Style3"/>
        <w:framePr w:w="1685" w:h="394" w:wrap="around" w:vAnchor="text" w:hAnchor="margin" w:x="395" w:y="166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000617383376</w:t>
      </w:r>
    </w:p>
    <w:p>
      <w:pPr>
        <w:pStyle w:val="Style5"/>
        <w:widowControl w:val="0"/>
        <w:keepNext w:val="0"/>
        <w:keepLines w:val="0"/>
        <w:shd w:val="clear" w:color="auto" w:fill="auto"/>
        <w:bidi w:val="0"/>
        <w:jc w:val="both"/>
        <w:spacing w:before="0" w:after="0"/>
        <w:ind w:left="60" w:right="20" w:firstLine="680"/>
      </w:pPr>
      <w:r>
        <w:rPr>
          <w:lang w:val="ru-RU" w:eastAsia="ru-RU" w:bidi="ru-RU"/>
          <w:w w:val="100"/>
          <w:spacing w:val="0"/>
          <w:color w:val="000000"/>
          <w:position w:val="0"/>
        </w:rPr>
        <w:t>рассмотрев жалобу ООО «ТРЕЙД КОНСАЛТ АУДИТ» (далее — Заявитель) на действия ФГУП ГЦСС (далее — Заказчик) при проведении открытого конкурса в электронной форме на право заключения государственного контракта на оказание услуг по проведению обязательного аудита бухгалтерской (финансовой) отчетности</w:t>
      </w:r>
      <w:r>
        <w:br w:type="page"/>
      </w:r>
    </w:p>
    <w:p>
      <w:pPr>
        <w:pStyle w:val="Style5"/>
        <w:widowControl w:val="0"/>
        <w:keepNext w:val="0"/>
        <w:keepLines w:val="0"/>
        <w:shd w:val="clear" w:color="auto" w:fill="auto"/>
        <w:bidi w:val="0"/>
        <w:jc w:val="both"/>
        <w:spacing w:before="0" w:after="308"/>
        <w:ind w:left="20" w:right="20" w:firstLine="0"/>
      </w:pPr>
      <w:r>
        <w:rPr>
          <w:lang w:val="ru-RU" w:eastAsia="ru-RU" w:bidi="ru-RU"/>
          <w:w w:val="100"/>
          <w:spacing w:val="0"/>
          <w:color w:val="000000"/>
          <w:position w:val="0"/>
        </w:rPr>
        <w:t>ФГУП ГЦСС за 2021 год (Закупка № 0573100030821000001) (далее — открытый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открытого конкурса.</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 ЕИ/67177/21 от 02.11.2021 документы и сведения.</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Заявитель обжалует действия Заказчика, выразившиеся в установлении порядка оценки по нестоимостному критериям «Квалификация участников закупки», в частности по показателям: «Размер страхового покрытия аудиторского риска/ профессиональной ответственности», «Деловая репутация участника закупки» в нарушений положений законодательства о контрактной системе.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1"/>
        </w:numPr>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 xml:space="preserve"> цена контракта;</w:t>
      </w:r>
    </w:p>
    <w:p>
      <w:pPr>
        <w:pStyle w:val="Style5"/>
        <w:numPr>
          <w:ilvl w:val="0"/>
          <w:numId w:val="1"/>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1"/>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tabs>
          <w:tab w:leader="none" w:pos="4079" w:val="right"/>
          <w:tab w:leader="none" w:pos="4775" w:val="center"/>
          <w:tab w:leader="none" w:pos="5442"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Согласно п.8 ч.1</w:t>
        <w:tab/>
        <w:t>ст.54.3</w:t>
        <w:tab/>
        <w:t>Закона</w:t>
        <w:tab/>
        <w:t>о контрактной системе конкурсная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В силу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В соответствии с п.11 Правил по каждому критерию оценки используется 100-балльная </w:t>
      </w:r>
      <w:r>
        <w:rPr>
          <w:rStyle w:val="CharStyle11"/>
        </w:rPr>
        <w:t>шк</w:t>
      </w:r>
      <w:r>
        <w:rPr>
          <w:lang w:val="ru-RU" w:eastAsia="ru-RU" w:bidi="ru-RU"/>
          <w:w w:val="100"/>
          <w:spacing w:val="0"/>
          <w:color w:val="000000"/>
          <w:position w:val="0"/>
        </w:rPr>
        <w:t>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Правил):</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5"/>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г) обеспеченность участника закупки трудовыми ресурсами;</w:t>
      </w:r>
    </w:p>
    <w:p>
      <w:pPr>
        <w:pStyle w:val="Style5"/>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д) деловая репутация участника закупки.</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Комиссией Управления установлено, что согласно конкурсной документации Заказчиком установлен в том числе следующий порядок оценки заявок:</w:t>
      </w:r>
    </w:p>
    <w:p>
      <w:pPr>
        <w:pStyle w:val="Style5"/>
        <w:numPr>
          <w:ilvl w:val="0"/>
          <w:numId w:val="5"/>
        </w:numPr>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Размер страхового покрытия аудиторского риска/профессиональной ответственности действующего полиса страхования, выданного страховой компанией с рейтингом надежности по данным Эксперт РА не ниже </w:t>
      </w:r>
      <w:r>
        <w:rPr>
          <w:lang w:val="en-US" w:eastAsia="en-US" w:bidi="en-US"/>
          <w:w w:val="100"/>
          <w:spacing w:val="0"/>
          <w:color w:val="000000"/>
          <w:position w:val="0"/>
        </w:rPr>
        <w:t xml:space="preserve">ruAAA, </w:t>
      </w:r>
      <w:r>
        <w:rPr>
          <w:lang w:val="ru-RU" w:eastAsia="ru-RU" w:bidi="ru-RU"/>
          <w:w w:val="100"/>
          <w:spacing w:val="0"/>
          <w:color w:val="000000"/>
          <w:position w:val="0"/>
        </w:rPr>
        <w:t>и действующего не менее срока действия контракта, заключаемого по итогам настоящего конкурса:</w:t>
      </w:r>
    </w:p>
    <w:p>
      <w:pPr>
        <w:pStyle w:val="Style5"/>
        <w:numPr>
          <w:ilvl w:val="0"/>
          <w:numId w:val="7"/>
        </w:numPr>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более 1,5 млрд. рублей по всем страховым случаям и более 550 млн. рублей по одному страховому случаю - 10 баллов</w:t>
      </w:r>
    </w:p>
    <w:p>
      <w:pPr>
        <w:pStyle w:val="Style5"/>
        <w:numPr>
          <w:ilvl w:val="0"/>
          <w:numId w:val="7"/>
        </w:numPr>
        <w:tabs>
          <w:tab w:leader="none" w:pos="1460" w:val="left"/>
        </w:tabs>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1,5 млрд рублей и менее по всем страховым случаям и/или 550 млн рублей и менее по одному страховому случаю - 0 баллов.</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Размер страхового покрытия аудиторского риска/ профессиональной ответственности подтверждается копией полиса страхования профессиональной ответственности аудиторской организации, действующего на дату подачи заявок, и заключённого не позднее даты публикации настоящего конкурса.</w:t>
      </w:r>
    </w:p>
    <w:p>
      <w:pPr>
        <w:pStyle w:val="Style5"/>
        <w:numPr>
          <w:ilvl w:val="0"/>
          <w:numId w:val="5"/>
        </w:numPr>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 xml:space="preserve"> Деловая репутация участника закупки:</w:t>
      </w:r>
    </w:p>
    <w:p>
      <w:pPr>
        <w:pStyle w:val="Style5"/>
        <w:tabs>
          <w:tab w:leader="none" w:pos="10203" w:val="right"/>
        </w:tabs>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Наличие аудиторской организации в Списке /Рэнкинге</w:t>
        <w:tab/>
        <w:t>крупнейших</w:t>
      </w:r>
    </w:p>
    <w:p>
      <w:pPr>
        <w:pStyle w:val="Style5"/>
        <w:tabs>
          <w:tab w:leader="none" w:pos="10203"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аудиторско-консалтинговых/аудиторских групп (в том числе</w:t>
        <w:tab/>
        <w:t>партнерских</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объединений) и сетей, объединений по итогам 2013-2020 гг. в семерке лидеров (не менее 1 раза) по данным Эксперт РА/ РАЭКС-Аналитика:</w:t>
      </w:r>
    </w:p>
    <w:p>
      <w:pPr>
        <w:pStyle w:val="Style5"/>
        <w:numPr>
          <w:ilvl w:val="0"/>
          <w:numId w:val="7"/>
        </w:numPr>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 xml:space="preserve"> наличие - 40 баллов</w:t>
      </w:r>
    </w:p>
    <w:p>
      <w:pPr>
        <w:pStyle w:val="Style5"/>
        <w:numPr>
          <w:ilvl w:val="0"/>
          <w:numId w:val="7"/>
        </w:numPr>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 xml:space="preserve"> отсутствие - 0 баллов.</w:t>
      </w:r>
    </w:p>
    <w:p>
      <w:pPr>
        <w:pStyle w:val="Style5"/>
        <w:tabs>
          <w:tab w:leader="none" w:pos="10203" w:val="right"/>
        </w:tabs>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Деловая репутация участника закупки подтверждается</w:t>
        <w:tab/>
        <w:t>официально</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опубликованными данными Эксперт РА/ РАЭКС-Аналитика.</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По мнению Заявителя оценивая наличие аудиторской организации в списке /рэнкинге крупнейших аудиторско-консалтинговых/аудиторских групп (в том числе партнерских объединений) и сетей, объединений по итогам 2013-2020 гг. в семерке лидеров по данным Эксперт РА/ РАЭКС-Аналитика ограничивает число возможных участников закупки только 7 организациями. Кроме того, по мнению Заявителя, единственным критерием участия в указанном Рэнкинге является размер выручки от реализации товара (услуг), который ни коем образом не характеризует квалификацию аудиторской организации.</w:t>
      </w:r>
    </w:p>
    <w:p>
      <w:pPr>
        <w:pStyle w:val="Style5"/>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Также Заявитель отмечает, что оценка страхового покрытия не подтверждает ни качество оказания аудиторских услуг, ни квалификацию участника. Также для обеспечения аудиторов дополнительной имущественной ответственности перед потребителями аудиторских услуг и иными лицами сформирован компенсационный фонд саморегулируемой организации аудиторов (п. 3 ст. 17 Федерального закона от 30.12.2008 № 307-ФЗ «Об аудиторской деятельности»).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сравнение размеров, сумм страховых полисов участников не подтверждает ни наибольшую квалификацию, ни наилучшее качество оказания аудиторских услуг для целей конкурса, т.е. данный показатель неадекватен предмету закупки, не может использоваться при оценке и сопоставления заявок.</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требуемый размер страхового покрытия (1,5 млрд руб.) явно завышен и несоразмерен последствиям нарушения обязательства, который более чем в 300 раз превышает начальную максимальную цену контракта, что приводит к нарушению баланса прав и обязанностей участников соответствующего гражданско-правового договора.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свою очередь, на заседании Комиссии Управления представители Заказчика пояснили, что установление Заказчиком критерия о наличии участника в рэнкинге крупнейших аудиторских организаций обусловлено получением положительного результата и направлен на достижение качественного оказания услуг по договору. При этом, на заседании Комиссии Управления Заказчиком представлена сравнительная таблица отображающая информацию о двадцати четырех организациях входящих в данный рэнкинг. Кроме того, отсутствие участника закупки в данном рэнкниге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пп. 4.1 ч.1 ст. 13 Закона об аудиторской деятельности аудиторская организация вправе застраховать ответственность за нарушение договора оказания аудиторских услуг и (или) ответственность за причинение вреда имуществу других лиц в результате осуществления аудиторской деятельности.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специфика деятельности аудиторских организаций заключается в том, что у таких организаций в большинстве своем отсутствуют собственные и оборотные средства, за счет которых Заказчик мог бы получить возмещение убытков.</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 6 «Подходов к определению нестоймостных критериев оценки заявок, окончательных предложений участников закупки аудиторских услуг и порядка их оценки» (одобрены Советом по аудиторской деятельности 15.12.2016, протокол №29) определено, что при организации закупки аудиторских услуг конкретные нестоймостные критерии и их показатели определяются Заказчиком самостоятельно в зависимости от масштаба и характера осуществляемой ими деятельности, отраслевых рисков, целей и обстоятельств выбора внешнего аудитора и иных факторов, а также в зависимости от масштаба и специфики деятельности рассматриваемых вне</w:t>
      </w:r>
      <w:r>
        <w:rPr>
          <w:rStyle w:val="CharStyle11"/>
        </w:rPr>
        <w:t>шн</w:t>
      </w:r>
      <w:r>
        <w:rPr>
          <w:lang w:val="ru-RU" w:eastAsia="ru-RU" w:bidi="ru-RU"/>
          <w:w w:val="100"/>
          <w:spacing w:val="0"/>
          <w:color w:val="000000"/>
          <w:position w:val="0"/>
        </w:rPr>
        <w:t>их аудиторов.</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Заказчиком проведена внутренняя оценка рисков, и на основании своего уровня существенности определен достаточный уровень суммы страхового возмещения. Наличие полиса с суммой страховой выплаты более 1,5 млрд. рублей позволяет Заказчику застраховать себя от имущественных рисков, которые могут возникнуть в связи с ненадлежащим оказанием услуг аудиторской организацией.</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Установление страховой ответственности аудитора в названном размере необходимо Заказчику по причине значительных активов предприятия, которые составляют более 3,9 млрд. руб.</w:t>
      </w:r>
    </w:p>
    <w:p>
      <w:pPr>
        <w:pStyle w:val="Style5"/>
        <w:tabs>
          <w:tab w:leader="none" w:pos="3485" w:val="left"/>
        </w:tabs>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На основании ч.9</w:t>
        <w:tab/>
        <w:t>ст.105 Закона о контрактной системе к жалобе</w:t>
      </w:r>
    </w:p>
    <w:p>
      <w:pPr>
        <w:pStyle w:val="Style5"/>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Вместе с тем на заседании Комиссии Управления Заявителем не представлены документы и сведения, подтверждающие обоснованность данных доводов жалобы, а также свидетельствующих о нарушении Заказчиком положений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Кроме того, Комиссия Управления отмечает, что конкурсной документацией установлены требования к участникам закупки о наличии действующей лицензии на выполнение работ, связанных с использованием сведений, составляющих государственную тайну, степени секретности - «СЕКРЕТНО». В тоже время Заявитель не обладает требуемой лицензии, что свидетельствует о том, что Заявитель не имеет возможности принятия в указанной закупки и указываемые им нарушения не могут влиять на его права.</w:t>
      </w:r>
    </w:p>
    <w:p>
      <w:pPr>
        <w:pStyle w:val="Style5"/>
        <w:widowControl w:val="0"/>
        <w:keepNext w:val="0"/>
        <w:keepLines w:val="0"/>
        <w:shd w:val="clear" w:color="auto" w:fill="auto"/>
        <w:bidi w:val="0"/>
        <w:jc w:val="both"/>
        <w:spacing w:before="0" w:after="342" w:line="31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232"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widowControl w:val="0"/>
        <w:keepNext w:val="0"/>
        <w:keepLines w:val="0"/>
        <w:shd w:val="clear" w:color="auto" w:fill="auto"/>
        <w:bidi w:val="0"/>
        <w:jc w:val="left"/>
        <w:spacing w:before="0" w:after="0" w:line="326" w:lineRule="exact"/>
        <w:ind w:left="20" w:right="20" w:firstLine="820"/>
      </w:pPr>
      <w:r>
        <w:rPr>
          <w:lang w:val="ru-RU" w:eastAsia="ru-RU" w:bidi="ru-RU"/>
          <w:w w:val="100"/>
          <w:spacing w:val="0"/>
          <w:color w:val="000000"/>
          <w:position w:val="0"/>
        </w:rPr>
        <w:t>1. Признать жалобу ООО «ТРЕЙД КОНСАЛТ АУДИТ» на действия ФГУП ГЦСС необоснованной.</w:t>
      </w:r>
    </w:p>
    <w:p>
      <w:pPr>
        <w:pStyle w:val="Style5"/>
        <w:widowControl w:val="0"/>
        <w:keepNext w:val="0"/>
        <w:keepLines w:val="0"/>
        <w:shd w:val="clear" w:color="auto" w:fill="auto"/>
        <w:bidi w:val="0"/>
        <w:jc w:val="both"/>
        <w:spacing w:before="0" w:after="300"/>
        <w:ind w:left="20" w:right="20" w:firstLine="700"/>
      </w:pPr>
      <w:r>
        <w:rPr>
          <w:lang w:val="ru-RU" w:eastAsia="ru-RU" w:bidi="ru-RU"/>
          <w:w w:val="100"/>
          <w:spacing w:val="0"/>
          <w:color w:val="000000"/>
          <w:position w:val="0"/>
        </w:rPr>
        <w:t>2. Снять ограничения на определение поставщика, наложенные письмом Московского УФАС России № ЕИ/67177/21 от 02.11.2021.</w:t>
      </w:r>
    </w:p>
    <w:p>
      <w:pPr>
        <w:pStyle w:val="Style5"/>
        <w:widowControl w:val="0"/>
        <w:keepNext w:val="0"/>
        <w:keepLines w:val="0"/>
        <w:shd w:val="clear" w:color="auto" w:fill="auto"/>
        <w:bidi w:val="0"/>
        <w:jc w:val="both"/>
        <w:spacing w:before="0" w:after="47"/>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 рех) месяцев с даты его принятия в порядке, установленным гл. 24 АПК РФ.</w:t>
      </w:r>
    </w:p>
    <w:p>
      <w:pPr>
        <w:pStyle w:val="Style5"/>
        <w:tabs>
          <w:tab w:leader="none" w:pos="9073" w:val="center"/>
          <w:tab w:leader="none" w:pos="1017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924" w:val="right"/>
          <w:tab w:leader="none" w:pos="1017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731"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jc w:val="left"/>
        <w:spacing w:before="0" w:after="0"/>
        <w:ind w:left="2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33" w:right="814"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04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42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