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368" w:h="470" w:wrap="around" w:vAnchor="text" w:hAnchor="margin" w:x="364" w:y="960"/>
        <w:widowControl w:val="0"/>
        <w:keepNext w:val="0"/>
        <w:keepLines w:val="0"/>
        <w:shd w:val="clear" w:color="auto" w:fill="auto"/>
        <w:bidi w:val="0"/>
        <w:spacing w:before="0" w:after="0"/>
        <w:ind w:left="0" w:right="40" w:firstLine="0"/>
      </w:pPr>
      <w:r>
        <w:rPr>
          <w:rStyle w:val="CharStyle5"/>
          <w:b/>
          <w:bCs/>
          <w:spacing w:val="0"/>
        </w:rPr>
        <w:t>ФЕДЕРАЛЬНАЯ АНТИМОНОПОЛЬНАЯ СЛУЖБА</w:t>
      </w:r>
    </w:p>
    <w:p>
      <w:pPr>
        <w:widowControl w:val="0"/>
        <w:rPr>
          <w:sz w:val="2"/>
          <w:szCs w:val="2"/>
        </w:rPr>
      </w:pPr>
    </w:p>
    <w:p>
      <w:pPr>
        <w:pStyle w:val="Style6"/>
        <w:widowControl w:val="0"/>
        <w:keepNext w:val="0"/>
        <w:keepLines w:val="0"/>
        <w:shd w:val="clear" w:color="auto" w:fill="auto"/>
        <w:bidi w:val="0"/>
        <w:spacing w:before="0" w:after="257"/>
        <w:ind w:left="0" w:right="20" w:firstLine="0"/>
      </w:pPr>
      <w:r>
        <w:rPr>
          <w:rStyle w:val="CharStyle8"/>
        </w:rPr>
        <w:t xml:space="preserve">Мясницкий проезд, д.4, стр. 1 107078, г. Москва, тел. (495) 784-75-05, факс (495) 607-49-29 факс (495) 607-42-92, </w:t>
      </w:r>
      <w:r>
        <w:rPr>
          <w:rStyle w:val="CharStyle9"/>
        </w:rPr>
        <w:t>e-mail: to77@,fas.gov.ru</w:t>
      </w:r>
    </w:p>
    <w:p>
      <w:pPr>
        <w:pStyle w:val="Style10"/>
        <w:tabs>
          <w:tab w:leader="underscore" w:pos="3934" w:val="left"/>
        </w:tabs>
        <w:widowControl w:val="0"/>
        <w:keepNext w:val="0"/>
        <w:keepLines w:val="0"/>
        <w:shd w:val="clear" w:color="auto" w:fill="auto"/>
        <w:bidi w:val="0"/>
        <w:spacing w:before="0" w:after="190" w:line="200" w:lineRule="exact"/>
        <w:ind w:left="80" w:right="0" w:firstLine="0"/>
      </w:pPr>
      <w:r>
        <w:rPr>
          <w:rStyle w:val="CharStyle12"/>
        </w:rPr>
        <w:t xml:space="preserve">  №</w:t>
        <w:tab/>
      </w:r>
    </w:p>
    <w:p>
      <w:pPr>
        <w:pStyle w:val="Style6"/>
        <w:tabs>
          <w:tab w:leader="none" w:pos="1987" w:val="left"/>
        </w:tabs>
        <w:widowControl w:val="0"/>
        <w:keepNext w:val="0"/>
        <w:keepLines w:val="0"/>
        <w:shd w:val="clear" w:color="auto" w:fill="auto"/>
        <w:bidi w:val="0"/>
        <w:jc w:val="both"/>
        <w:spacing w:before="0" w:after="0" w:line="180" w:lineRule="exact"/>
        <w:ind w:left="0" w:right="0" w:firstLine="0"/>
      </w:pPr>
      <w:r>
        <w:rPr>
          <w:rStyle w:val="CharStyle8"/>
        </w:rPr>
        <w:t>На №</w:t>
        <w:tab/>
        <w:t>от</w:t>
      </w:r>
    </w:p>
    <w:p>
      <w:pPr>
        <w:pStyle w:val="Style1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ГБУЗ «ТКБ № 3 ДЗМ»</w:t>
      </w:r>
    </w:p>
    <w:p>
      <w:pPr>
        <w:pStyle w:val="Style1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Куркинское ш., д. 29, г. Москва, 125466 ООО «Пионер»</w:t>
      </w:r>
    </w:p>
    <w:p>
      <w:pPr>
        <w:pStyle w:val="Style13"/>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ул. Березовая Роща, д. 40, оф. 2, г. Воронеж, 394043</w:t>
      </w:r>
    </w:p>
    <w:p>
      <w:pPr>
        <w:pStyle w:val="Style13"/>
        <w:widowControl w:val="0"/>
        <w:keepNext w:val="0"/>
        <w:keepLines w:val="0"/>
        <w:shd w:val="clear" w:color="auto" w:fill="auto"/>
        <w:bidi w:val="0"/>
        <w:jc w:val="left"/>
        <w:spacing w:before="0" w:after="295" w:line="260" w:lineRule="exact"/>
        <w:ind w:left="0" w:right="0" w:firstLine="0"/>
      </w:pPr>
      <w:r>
        <w:rPr>
          <w:lang w:val="ru-RU" w:eastAsia="ru-RU" w:bidi="ru-RU"/>
          <w:w w:val="100"/>
          <w:spacing w:val="0"/>
          <w:color w:val="000000"/>
          <w:position w:val="0"/>
        </w:rPr>
        <w:t>АО «ЕЭТП»</w:t>
      </w:r>
    </w:p>
    <w:p>
      <w:pPr>
        <w:pStyle w:val="Style13"/>
        <w:widowControl w:val="0"/>
        <w:keepNext w:val="0"/>
        <w:keepLines w:val="0"/>
        <w:shd w:val="clear" w:color="auto" w:fill="auto"/>
        <w:bidi w:val="0"/>
        <w:jc w:val="left"/>
        <w:spacing w:before="0" w:after="0" w:line="331" w:lineRule="exact"/>
        <w:ind w:left="0" w:right="0" w:firstLine="0"/>
        <w:sectPr>
          <w:footnotePr>
            <w:pos w:val="pageBottom"/>
            <w:numFmt w:val="decimal"/>
            <w:numRestart w:val="continuous"/>
          </w:footnotePr>
          <w:type w:val="continuous"/>
          <w:pgSz w:w="11906" w:h="16838"/>
          <w:pgMar w:top="974" w:left="884" w:right="1066" w:bottom="340" w:header="0" w:footer="3" w:gutter="0"/>
          <w:rtlGutter w:val="0"/>
          <w:cols w:num="2" w:space="720" w:equalWidth="0">
            <w:col w:w="3941" w:space="1325"/>
            <w:col w:w="4690"/>
          </w:cols>
          <w:noEndnote/>
          <w:docGrid w:linePitch="360"/>
        </w:sectPr>
      </w:pPr>
      <w:r>
        <w:rPr>
          <w:lang w:val="ru-RU" w:eastAsia="ru-RU" w:bidi="ru-RU"/>
          <w:w w:val="100"/>
          <w:spacing w:val="0"/>
          <w:color w:val="000000"/>
          <w:position w:val="0"/>
        </w:rPr>
        <w:t>ул. Кожевническая, д. 14, стр. 5, г. Москва</w:t>
      </w:r>
    </w:p>
    <w:p>
      <w:pPr>
        <w:widowControl w:val="0"/>
        <w:spacing w:line="240" w:lineRule="exact"/>
        <w:rPr>
          <w:sz w:val="19"/>
          <w:szCs w:val="19"/>
        </w:rPr>
      </w:pPr>
    </w:p>
    <w:p>
      <w:pPr>
        <w:widowControl w:val="0"/>
        <w:spacing w:line="240" w:lineRule="exact"/>
        <w:rPr>
          <w:sz w:val="19"/>
          <w:szCs w:val="19"/>
        </w:rPr>
      </w:pPr>
    </w:p>
    <w:p>
      <w:pPr>
        <w:widowControl w:val="0"/>
        <w:spacing w:before="76" w:after="7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w:t>
      </w:r>
    </w:p>
    <w:p>
      <w:pPr>
        <w:pStyle w:val="Style17"/>
        <w:tabs>
          <w:tab w:leader="none" w:pos="9006" w:val="left"/>
        </w:tabs>
        <w:widowControl w:val="0"/>
        <w:keepNext w:val="0"/>
        <w:keepLines w:val="0"/>
        <w:shd w:val="clear" w:color="auto" w:fill="auto"/>
        <w:bidi w:val="0"/>
        <w:jc w:val="left"/>
        <w:spacing w:before="0" w:after="0"/>
        <w:ind w:left="40" w:right="20" w:firstLine="1800"/>
      </w:pPr>
      <w:r>
        <w:rPr>
          <w:lang w:val="ru-RU" w:eastAsia="ru-RU" w:bidi="ru-RU"/>
          <w:w w:val="100"/>
          <w:spacing w:val="0"/>
          <w:color w:val="000000"/>
          <w:position w:val="0"/>
        </w:rPr>
        <w:t>по результатам проведенной внеплановой проверки по делу № 077/06/106-19599/2021 о нарушении законодательства о контрактной системе 10.11.2021</w:t>
        <w:tab/>
        <w:t>г. Москва</w:t>
      </w:r>
    </w:p>
    <w:p>
      <w:pPr>
        <w:pStyle w:val="Style13"/>
        <w:tabs>
          <w:tab w:leader="none" w:pos="7365" w:val="left"/>
        </w:tabs>
        <w:widowControl w:val="0"/>
        <w:keepNext w:val="0"/>
        <w:keepLines w:val="0"/>
        <w:shd w:val="clear" w:color="auto" w:fill="auto"/>
        <w:bidi w:val="0"/>
        <w:jc w:val="both"/>
        <w:spacing w:before="0" w:after="0" w:line="322" w:lineRule="exact"/>
        <w:ind w:left="40" w:right="20" w:firstLine="660"/>
      </w:pPr>
      <w:r>
        <w:rPr>
          <w:lang w:val="ru-RU" w:eastAsia="ru-RU" w:bidi="ru-RU"/>
          <w:w w:val="100"/>
          <w:spacing w:val="0"/>
          <w:color w:val="000000"/>
          <w:position w:val="0"/>
        </w:rPr>
        <w:t>На основании требований пп. «б» п.2 ч.3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Письмом ФАС России от 19.10.2018 № ИА/84476/18 проведена внеплановая проверка действий ГБУЗ «ТКБ № 3 ДЗМ» (далее — Заказчик) при проведении электронных аукционов на право заключения государственных контрактов на поставку облучателей бактерицидных, облучателей рециркуляторов для нужд ГБУЗ «ТКБ №</w:t>
        <w:tab/>
        <w:t>3 ДЗМ» (Закупки</w:t>
      </w:r>
    </w:p>
    <w:p>
      <w:pPr>
        <w:pStyle w:val="Style13"/>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0373200107421000483, 0373200107421000497) (далее - электронные аукционы, аукционы)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5"/>
        <w:framePr w:w="1685" w:h="394" w:wrap="around" w:vAnchor="text" w:hAnchor="margin" w:x="385" w:y="83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000233594697</w:t>
      </w:r>
    </w:p>
    <w:p>
      <w:pPr>
        <w:pStyle w:val="Style13"/>
        <w:widowControl w:val="0"/>
        <w:keepNext w:val="0"/>
        <w:keepLines w:val="0"/>
        <w:shd w:val="clear" w:color="auto" w:fill="auto"/>
        <w:bidi w:val="0"/>
        <w:jc w:val="both"/>
        <w:spacing w:before="0" w:after="116" w:line="322" w:lineRule="exact"/>
        <w:ind w:left="40" w:right="20" w:firstLine="660"/>
        <w:sectPr>
          <w:type w:val="continuous"/>
          <w:pgSz w:w="11906" w:h="16838"/>
          <w:pgMar w:top="989" w:left="817" w:right="851" w:bottom="355" w:header="0" w:footer="3" w:gutter="0"/>
          <w:rtlGutter w:val="0"/>
          <w:cols w:space="720"/>
          <w:noEndnote/>
          <w:docGrid w:linePitch="360"/>
        </w:sectPr>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w:t>
      </w:r>
    </w:p>
    <w:p>
      <w:pPr>
        <w:pStyle w:val="Style1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Управления) в составе:</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1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Члены Комиссии:</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внеплановая проверка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1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при участии представителей ГБУЗ «ТКБ № 3 ДЗМ»,</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ООО «Пионер», о времени и порядке заседания Комиссии уведомленных письмом Московского УФАС России исх. №ЕИ/67047/21 от 01.11.2021,</w:t>
      </w:r>
    </w:p>
    <w:p>
      <w:pPr>
        <w:pStyle w:val="Style13"/>
        <w:widowControl w:val="0"/>
        <w:keepNext w:val="0"/>
        <w:keepLines w:val="0"/>
        <w:shd w:val="clear" w:color="auto" w:fill="auto"/>
        <w:bidi w:val="0"/>
        <w:jc w:val="both"/>
        <w:spacing w:before="0" w:after="349" w:line="322" w:lineRule="exact"/>
        <w:ind w:left="20" w:right="0" w:firstLine="680"/>
      </w:pPr>
      <w:r>
        <w:rPr>
          <w:lang w:val="ru-RU" w:eastAsia="ru-RU" w:bidi="ru-RU"/>
          <w:w w:val="100"/>
          <w:spacing w:val="0"/>
          <w:color w:val="000000"/>
          <w:position w:val="0"/>
        </w:rPr>
        <w:t>По результатам проведенной внеплановой проверки Комиссия Управления</w:t>
      </w:r>
    </w:p>
    <w:p>
      <w:pPr>
        <w:pStyle w:val="Style20"/>
        <w:widowControl w:val="0"/>
        <w:keepNext/>
        <w:keepLines/>
        <w:shd w:val="clear" w:color="auto" w:fill="auto"/>
        <w:bidi w:val="0"/>
        <w:jc w:val="left"/>
        <w:spacing w:before="0" w:after="31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13"/>
        <w:tabs>
          <w:tab w:leader="none" w:pos="7345"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поступили жалобы ООО «Пионер» (вх. №№ 94587-ЭП/21, 94585-ЭП/21 от 29.10.2021) на действия ГБУЗ «ТКБ № 3 ДЗМ» (далее — Заказчик) при проведении электронных аукционов на право заключения государственных контрактов на поставку облучателей бактерицидных, облучателей рециркуляторов для нужд ГБУЗ «ТКБ №</w:t>
        <w:tab/>
        <w:t>3 ДЗМ» (Закупки</w:t>
      </w:r>
    </w:p>
    <w:p>
      <w:pPr>
        <w:pStyle w:val="Style1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0373200107421000483, 0373200107421000497).</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указанные жалобы отозваны Заявителем в соответствии с ч.15 ст.105 Закона о контрактной системе.</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не представлены в полном объеме документы и сведения, запрашиваемые письмом Московского УФАС России от 01.11.2021 №ЕИ/67047/21, а именно, Заказчиком не представлены следующие документы: приказ (иной акт) со всеми изменениями о создании Комиссии, действующей при проведении закупки; положение (иной акт), устанавливающий полномочия и обязанности членов Комиссии, действующей при проведении закупки; сведения о членах Комиссии, действующей при проведении закупки (паспортные данные);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 ввиду чего, в действиях Заказчика усматриваются признаки состава административного правонарушения, ответственность за которое предусмотрена ч.1 ст.19.7.2 Кодекса Российской Федерации об административных правонарушениях.</w:t>
      </w:r>
    </w:p>
    <w:p>
      <w:pPr>
        <w:pStyle w:val="Style1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Письмом ФАС России от 19.10.2018 № ИА/84476/18 в случае если в жалобе содержатся указания на действия (бездействия) Заказчика, содержащие признаки нарушения законодательства об осуществлении закупок ФАС России (территориальный орган) обязан провести внеплановую проверку.</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ходе проведения внеплановой проверки Комиссией Управления проверено соблюдение Заказчиком законодательства об осуществлении закупок при проведении вышеуказанных аукционов.</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обжалует действия аукционных комиссий Заказчика, выразившиеся в отказе в допуске Заявителю к участию в вышеуказанных аукционах.</w:t>
      </w:r>
    </w:p>
    <w:p>
      <w:pPr>
        <w:pStyle w:val="Style13"/>
        <w:tabs>
          <w:tab w:leader="none" w:pos="2257" w:val="left"/>
          <w:tab w:leader="none" w:pos="5866"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протоколам рассмотрения заявок на участие в электронном аукционе от 26.10.2021</w:t>
        <w:tab/>
        <w:t>№0373200107421000483-1,</w:t>
        <w:tab/>
        <w:t>№0373200107421000497-1 заявки</w:t>
      </w:r>
    </w:p>
    <w:p>
      <w:pPr>
        <w:pStyle w:val="Style1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Заявителя (идентификационные номера заявки 5, 4 соответственно) признаны не соответствующими требованиям аукционных документаций на основании не представления сведений о товарных знаках предлагаемых к поставке товаров.</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ч.3-6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ч.2 ст.33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Заказчиком в технической части Аукционной документации установлены конкретные требования к товарам, а именно:</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 закупочной процедуре № 0373200107421000483: п. 1 «Облучатель- рециркулятор бактерицидный тип 2», п. 2 «Облучатель-рециркулятор бактерицидный тип 3».</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 закупочной процедуре № 0373200107421000497: п. 1 «Облучатель- рециркулятор бактерицидный тип 1», п. 2 «Облучатель-рециркулятор бактерицидный тип 4».</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ч.3.1 Закона о контрактной системе, должна содержать:</w:t>
      </w:r>
    </w:p>
    <w:p>
      <w:pPr>
        <w:pStyle w:val="Style13"/>
        <w:numPr>
          <w:ilvl w:val="0"/>
          <w:numId w:val="1"/>
        </w:numPr>
        <w:tabs>
          <w:tab w:leader="none" w:pos="1082"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2) при осуществлении закупки товара, в том числе поставляемого заказчику при выполнении закупаемых работ, оказании закупаемых услуг:</w:t>
      </w:r>
    </w:p>
    <w:p>
      <w:pPr>
        <w:pStyle w:val="Style1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а) наименование страны происхождения товара;</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установлено, что в составе первых частей заявок участник закупки выразил согласие на поставку товаров на условиях, предусмотренных документациями об аукционах а также представил, в том числе следующие сведения о представленных в поставке товарах:</w:t>
      </w:r>
    </w:p>
    <w:p>
      <w:pPr>
        <w:pStyle w:val="Style13"/>
        <w:tabs>
          <w:tab w:leader="none" w:pos="7311" w:val="center"/>
          <w:tab w:leader="none" w:pos="10210" w:val="righ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 закупочной процедуре № 0373200107421000483:п. 1 «Облучатель- рециркулятор бактерицидный тип 2»:</w:t>
        <w:tab/>
        <w:t>«Облучатель-рециркулятор</w:t>
        <w:tab/>
        <w:t>воздуха</w:t>
      </w:r>
    </w:p>
    <w:p>
      <w:pPr>
        <w:pStyle w:val="Style1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ультрафиолетовый бактер</w:t>
      </w:r>
      <w:r>
        <w:rPr>
          <w:rStyle w:val="CharStyle19"/>
        </w:rPr>
        <w:t>ици</w:t>
      </w:r>
      <w:r>
        <w:rPr>
          <w:lang w:val="ru-RU" w:eastAsia="ru-RU" w:bidi="ru-RU"/>
          <w:w w:val="100"/>
          <w:spacing w:val="0"/>
          <w:color w:val="000000"/>
          <w:position w:val="0"/>
        </w:rPr>
        <w:t>дный ОРУБ-3-5-«КРОНТ» по ТУ 9451-029-11769436</w:t>
        <w:softHyphen/>
        <w:t>2006 в исполнении настенный ОРУБн-3-5-«КРОНТ» (Дезар-5), производство: АО «КРОНТ-М» (Россия)», п. 2 «Облучатель-рециркулятор бактерицидный тип 3»: «Облучатель-рециркулятор воздуха ультрафиолетовый бактерицидный ОРУБ-3- 5-«КРОНТ» по ТУ 9451-029-11769436-2006 в исполнении передвижной ОРУБп-3- 5-«КРОНТ» (Дезар-7), производство: АО «КРОНТ-М» (Россия)».</w:t>
      </w:r>
    </w:p>
    <w:p>
      <w:pPr>
        <w:pStyle w:val="Style13"/>
        <w:tabs>
          <w:tab w:leader="none" w:pos="7311" w:val="center"/>
          <w:tab w:leader="none" w:pos="10210" w:val="righ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 закупочной процедуре № 0373200107421000497: п. 1 «Облучатель- рециркулятор бактерицидный тип 1»:</w:t>
        <w:tab/>
        <w:t>«Облучатель-рециркулятор</w:t>
        <w:tab/>
        <w:t>воздуха</w:t>
      </w:r>
    </w:p>
    <w:p>
      <w:pPr>
        <w:pStyle w:val="Style1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ультрафиолетовый бактерицидный ОРУБ-3-3-«КРОНТ» по ТУ 9451-029-11769436</w:t>
        <w:softHyphen/>
        <w:t>2006 в исполнении настенный ОРУБн-3-3-«КРОНТ» (Дезар-3), производство: АО «КРОНТ-М» (Россия)», п. 2 «Облучатель-рециркулятор бактерицидный тип 4»: «Облучатель-рециркулятор воздуха ультрафиолетовый бактерицидный ОРУБ- 01-«КРОНТ» по ТУ 9451-018-11769436-2003 в исполнении передвижной ОРУБп- 01-«КРОНТ» (Дезар-8), производство: АО «КРОНТ-М» (Россия)».</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заявки Заявителя были отклонены ввиду того, что Заявителем в составе заявок на участие в аукционе не представлены сведения о товарном знаке представленного товара, в то время как данный товар обладает товарным знаком «Кронт» (№ 426817).</w:t>
      </w:r>
    </w:p>
    <w:p>
      <w:pPr>
        <w:pStyle w:val="Style1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Управления отмечает, что Законом о контрактной системе не установлены способы и формы обозначения участником закупки товарного знака представляемого товара, ввиду чего участник закупочной процедуры может представить сведения о товарном знаке представленного товара в свободной форме, в том числе в форме указания на конкретный товар, конкретного производителя имеющего в наименовании товара указание на товарный знак.</w:t>
      </w:r>
    </w:p>
    <w:p>
      <w:pPr>
        <w:pStyle w:val="Style1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приходит к выводу, что представленные Заявителем сведения о товаре, например: «ОРУБн-3-5-«КРОНТ», однозначно указывают на обладание товара товарным знаком «Кронт», а также позволяют индивидуализировать товар предложенный в поставке товар.</w:t>
      </w:r>
    </w:p>
    <w:p>
      <w:pPr>
        <w:pStyle w:val="Style1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ч.4 ст.67 Закона о контрактной системе, установлено, что участник электронного аукциона не допускается к участию в нем в случае:</w:t>
      </w:r>
    </w:p>
    <w:p>
      <w:pPr>
        <w:pStyle w:val="Style13"/>
        <w:numPr>
          <w:ilvl w:val="0"/>
          <w:numId w:val="3"/>
        </w:numPr>
        <w:tabs>
          <w:tab w:leader="none" w:pos="8764" w:val="center"/>
          <w:tab w:leader="none" w:pos="10175"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 xml:space="preserve"> непредставления информации, предусмотренной ч.3</w:t>
        <w:tab/>
        <w:t>ст.66</w:t>
        <w:tab/>
        <w:t>Закона</w:t>
      </w:r>
    </w:p>
    <w:p>
      <w:pPr>
        <w:pStyle w:val="Style1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о контрактной системе, или предоставления недостоверной информации;</w:t>
      </w:r>
    </w:p>
    <w:p>
      <w:pPr>
        <w:pStyle w:val="Style13"/>
        <w:numPr>
          <w:ilvl w:val="0"/>
          <w:numId w:val="3"/>
        </w:numPr>
        <w:tabs>
          <w:tab w:leader="none" w:pos="8764" w:val="center"/>
          <w:tab w:leader="none" w:pos="10175"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 xml:space="preserve"> несоответствия информации, предусмотренной ч.3</w:t>
        <w:tab/>
        <w:t>ст.66</w:t>
        <w:tab/>
        <w:t>Закона</w:t>
      </w:r>
    </w:p>
    <w:p>
      <w:pPr>
        <w:pStyle w:val="Style1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о контрактной системе, требованиям документации о таком аукционе.</w:t>
      </w:r>
    </w:p>
    <w:p>
      <w:pPr>
        <w:pStyle w:val="Style1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ч.5 ст.67 Закона о контрактной системе отказ в допуске к участию в электронном аукционе по основаниям, не предусмотренным ч.4 ст.67 Закона о контрактной системе, не допускается.</w:t>
      </w:r>
    </w:p>
    <w:p>
      <w:pPr>
        <w:pStyle w:val="Style1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приходит к выводу, что действия аукционных комиссий Заказчика в части отказа в допуске Заявителю к участию в электронных аукционах на основаниях, указанных в протоколах рассмотрения заявок на участие в электронном аукционе от 26.10.2021 №0373200107421000483-1, №0373200107421000497-1, нарушают положения ч.5 ст.67 Закона о контрактной системе, а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p>
    <w:p>
      <w:pPr>
        <w:pStyle w:val="Style13"/>
        <w:widowControl w:val="0"/>
        <w:keepNext w:val="0"/>
        <w:keepLines w:val="0"/>
        <w:shd w:val="clear" w:color="auto" w:fill="auto"/>
        <w:bidi w:val="0"/>
        <w:jc w:val="both"/>
        <w:spacing w:before="0" w:after="0" w:line="322" w:lineRule="exact"/>
        <w:ind w:left="0" w:right="20" w:firstLine="700"/>
        <w:sectPr>
          <w:pgSz w:w="11906" w:h="16838"/>
          <w:pgMar w:top="1262" w:left="849" w:right="848" w:bottom="1132"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0"/>
        <w:widowControl w:val="0"/>
        <w:keepNext/>
        <w:keepLines/>
        <w:shd w:val="clear" w:color="auto" w:fill="auto"/>
        <w:bidi w:val="0"/>
        <w:jc w:val="left"/>
        <w:spacing w:before="0" w:after="303" w:line="260" w:lineRule="exact"/>
        <w:ind w:left="4760" w:right="0" w:firstLine="0"/>
      </w:pPr>
      <w:bookmarkStart w:id="1" w:name="bookmark1"/>
      <w:r>
        <w:rPr>
          <w:lang w:val="ru-RU" w:eastAsia="ru-RU" w:bidi="ru-RU"/>
          <w:w w:val="100"/>
          <w:spacing w:val="0"/>
          <w:color w:val="000000"/>
          <w:position w:val="0"/>
        </w:rPr>
        <w:t>РЕШИЛА:</w:t>
      </w:r>
      <w:bookmarkEnd w:id="1"/>
    </w:p>
    <w:p>
      <w:pPr>
        <w:pStyle w:val="Style13"/>
        <w:tabs>
          <w:tab w:leader="none" w:pos="9038"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1. В действиях аукционных комиссий ГБУЗ «ТКБ №</w:t>
        <w:tab/>
        <w:t>3 ДЗМ»</w:t>
      </w:r>
    </w:p>
    <w:p>
      <w:pPr>
        <w:pStyle w:val="Style13"/>
        <w:tabs>
          <w:tab w:leader="none" w:pos="3634" w:val="left"/>
          <w:tab w:leader="none" w:pos="10194"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при проведении электронных аукционов на право заключения государственных контрактов на поставку облучателей бактерицидных, облучателей рециркуляторов для нужд ГБУЗ «ТКБ №</w:t>
        <w:tab/>
        <w:t>3 ДЗМ» (Закупки №№</w:t>
        <w:tab/>
        <w:t>0373200107421000483,</w:t>
      </w:r>
    </w:p>
    <w:p>
      <w:pPr>
        <w:pStyle w:val="Style1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0373200107421000497) по доводам, изложенным в жалобах ООО «Пионер», выявлены нарушения ч.5 ст.67 Закона о контрактной системе.</w:t>
      </w:r>
    </w:p>
    <w:p>
      <w:pPr>
        <w:pStyle w:val="Style13"/>
        <w:numPr>
          <w:ilvl w:val="0"/>
          <w:numId w:val="5"/>
        </w:numPr>
        <w:tabs>
          <w:tab w:leader="none" w:pos="2538" w:val="right"/>
          <w:tab w:leader="none" w:pos="2743"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Выдать</w:t>
        <w:tab/>
        <w:t>Заказчику обязательное для исполнения предписание об</w:t>
      </w:r>
    </w:p>
    <w:p>
      <w:pPr>
        <w:pStyle w:val="Style1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устранении нарушений законодательства о контрактной системе.</w:t>
      </w:r>
    </w:p>
    <w:p>
      <w:pPr>
        <w:pStyle w:val="Style13"/>
        <w:numPr>
          <w:ilvl w:val="0"/>
          <w:numId w:val="5"/>
        </w:numPr>
        <w:widowControl w:val="0"/>
        <w:keepNext w:val="0"/>
        <w:keepLines w:val="0"/>
        <w:shd w:val="clear" w:color="auto" w:fill="auto"/>
        <w:bidi w:val="0"/>
        <w:jc w:val="both"/>
        <w:spacing w:before="0" w:after="81" w:line="322" w:lineRule="exact"/>
        <w:ind w:left="20" w:right="20" w:firstLine="680"/>
      </w:pPr>
      <w:r>
        <w:rPr>
          <w:lang w:val="ru-RU" w:eastAsia="ru-RU" w:bidi="ru-RU"/>
          <w:w w:val="100"/>
          <w:spacing w:val="0"/>
          <w:color w:val="000000"/>
          <w:position w:val="0"/>
        </w:rPr>
        <w:t xml:space="preserve"> Передать соответствующему должностному лицу Московского </w:t>
      </w:r>
      <w:r>
        <w:rPr>
          <w:rStyle w:val="CharStyle22"/>
        </w:rPr>
        <w:t xml:space="preserve">УФАС </w:t>
      </w:r>
      <w:r>
        <w:rPr>
          <w:lang w:val="ru-RU" w:eastAsia="ru-RU" w:bidi="ru-RU"/>
          <w:w w:val="100"/>
          <w:spacing w:val="0"/>
          <w:color w:val="000000"/>
          <w:position w:val="0"/>
        </w:rPr>
        <w:t>России материалы дела для рассмотрения вопроса о возбуждении дела об административном правонарушении</w:t>
      </w:r>
    </w:p>
    <w:p>
      <w:pPr>
        <w:pStyle w:val="Style13"/>
        <w:tabs>
          <w:tab w:leader="none" w:pos="9109" w:val="right"/>
          <w:tab w:leader="none" w:pos="10194" w:val="right"/>
        </w:tabs>
        <w:widowControl w:val="0"/>
        <w:keepNext w:val="0"/>
        <w:keepLines w:val="0"/>
        <w:shd w:val="clear" w:color="auto" w:fill="auto"/>
        <w:bidi w:val="0"/>
        <w:jc w:val="both"/>
        <w:spacing w:before="0" w:after="0" w:line="595"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13"/>
        <w:tabs>
          <w:tab w:leader="none" w:pos="9109" w:val="right"/>
          <w:tab w:leader="none" w:pos="10194" w:val="right"/>
        </w:tabs>
        <w:widowControl w:val="0"/>
        <w:keepNext w:val="0"/>
        <w:keepLines w:val="0"/>
        <w:shd w:val="clear" w:color="auto" w:fill="auto"/>
        <w:bidi w:val="0"/>
        <w:jc w:val="both"/>
        <w:spacing w:before="0" w:after="0" w:line="595" w:lineRule="exact"/>
        <w:ind w:left="20" w:right="0" w:firstLine="0"/>
      </w:pPr>
      <w:r>
        <w:rPr>
          <w:lang w:val="ru-RU" w:eastAsia="ru-RU" w:bidi="ru-RU"/>
          <w:w w:val="100"/>
          <w:spacing w:val="0"/>
          <w:color w:val="000000"/>
          <w:position w:val="0"/>
        </w:rPr>
        <w:t>Члены Комиссии</w:t>
        <w:tab/>
        <w:t>В.А.</w:t>
        <w:tab/>
        <w:t>Матвеев</w:t>
      </w:r>
    </w:p>
    <w:p>
      <w:pPr>
        <w:pStyle w:val="Style13"/>
        <w:widowControl w:val="0"/>
        <w:keepNext w:val="0"/>
        <w:keepLines w:val="0"/>
        <w:shd w:val="clear" w:color="auto" w:fill="auto"/>
        <w:bidi w:val="0"/>
        <w:jc w:val="right"/>
        <w:spacing w:before="0" w:after="6835" w:line="595" w:lineRule="exact"/>
        <w:ind w:left="0" w:right="20" w:firstLine="0"/>
      </w:pPr>
      <w:r>
        <w:rPr>
          <w:lang w:val="ru-RU" w:eastAsia="ru-RU" w:bidi="ru-RU"/>
          <w:w w:val="100"/>
          <w:spacing w:val="0"/>
          <w:color w:val="000000"/>
          <w:position w:val="0"/>
        </w:rPr>
        <w:t>А.А. Матюшенко</w:t>
      </w:r>
    </w:p>
    <w:p>
      <w:pPr>
        <w:pStyle w:val="Style6"/>
        <w:widowControl w:val="0"/>
        <w:keepNext w:val="0"/>
        <w:keepLines w:val="0"/>
        <w:shd w:val="clear" w:color="auto" w:fill="auto"/>
        <w:bidi w:val="0"/>
        <w:jc w:val="left"/>
        <w:spacing w:before="0" w:after="0" w:line="1051" w:lineRule="exact"/>
        <w:ind w:left="20" w:right="6180" w:firstLine="560"/>
      </w:pPr>
      <w:r>
        <w:rPr>
          <w:lang w:val="ru-RU" w:eastAsia="ru-RU" w:bidi="ru-RU"/>
          <w:w w:val="100"/>
          <w:spacing w:val="0"/>
          <w:color w:val="000000"/>
          <w:position w:val="0"/>
        </w:rPr>
        <w:t xml:space="preserve">Исп. Матюшенко А.А., 8(495) 784-75-05 </w:t>
      </w:r>
      <w:r>
        <w:rPr>
          <w:rStyle w:val="CharStyle23"/>
        </w:rPr>
        <w:t>2021-74985</w:t>
      </w:r>
    </w:p>
    <w:sectPr>
      <w:type w:val="continuous"/>
      <w:pgSz w:w="11906" w:h="16838"/>
      <w:pgMar w:top="885" w:left="848" w:right="848"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en-US" w:eastAsia="en-US" w:bidi="en-US"/>
      <w:u w:val="single"/>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Штрих-код (2)_"/>
    <w:basedOn w:val="DefaultParagraphFont"/>
    <w:link w:val="Style1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5)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w:basedOn w:val="CharStyle14"/>
    <w:rPr>
      <w:lang w:val="ru-RU" w:eastAsia="ru-RU" w:bidi="ru-RU"/>
      <w:u w:val="single"/>
      <w:w w:val="100"/>
      <w:spacing w:val="0"/>
      <w:color w:val="000000"/>
      <w:position w:val="0"/>
    </w:rPr>
  </w:style>
  <w:style w:type="character" w:customStyle="1" w:styleId="CharStyle21">
    <w:name w:val="Заголовок №1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w:basedOn w:val="CharStyle14"/>
    <w:rPr>
      <w:lang w:val="ru-RU" w:eastAsia="ru-RU" w:bidi="ru-RU"/>
      <w:w w:val="100"/>
      <w:spacing w:val="0"/>
      <w:color w:val="000000"/>
      <w:position w:val="0"/>
    </w:rPr>
  </w:style>
  <w:style w:type="character" w:customStyle="1" w:styleId="CharStyle23">
    <w:name w:val="Основной текст (2) + 11 pt,Полужирный"/>
    <w:basedOn w:val="CharStyle7"/>
    <w:rPr>
      <w:lang w:val="ru-RU" w:eastAsia="ru-RU" w:bidi="ru-RU"/>
      <w:b/>
      <w:bCs/>
      <w:sz w:val="22"/>
      <w:szCs w:val="22"/>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6">
    <w:name w:val="Основной текст (2)"/>
    <w:basedOn w:val="Normal"/>
    <w:link w:val="CharStyle7"/>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Штрих-код (2)"/>
    <w:basedOn w:val="Normal"/>
    <w:link w:val="CharStyle1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