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90" w:wrap="around" w:vAnchor="text" w:hAnchor="margin" w:x="1756" w:y="3716"/>
        <w:widowControl w:val="0"/>
        <w:keepNext w:val="0"/>
        <w:keepLines w:val="0"/>
        <w:shd w:val="clear" w:color="auto" w:fill="auto"/>
        <w:bidi w:val="0"/>
        <w:jc w:val="left"/>
        <w:spacing w:before="0" w:after="0" w:line="190" w:lineRule="exact"/>
        <w:ind w:left="100" w:right="0" w:firstLine="0"/>
      </w:pPr>
      <w:r>
        <w:rPr>
          <w:rStyle w:val="CharStyle4"/>
          <w:b/>
          <w:bCs/>
          <w:spacing w:val="0"/>
        </w:rPr>
        <w:t>от</w:t>
      </w:r>
    </w:p>
    <w:p>
      <w:pPr>
        <w:widowControl w:val="0"/>
        <w:rPr>
          <w:sz w:val="2"/>
          <w:szCs w:val="2"/>
        </w:rPr>
      </w:pPr>
    </w:p>
    <w:p>
      <w:pPr>
        <w:pStyle w:val="Style3"/>
        <w:widowControl w:val="0"/>
        <w:keepNext w:val="0"/>
        <w:keepLines w:val="0"/>
        <w:shd w:val="clear" w:color="auto" w:fill="auto"/>
        <w:bidi w:val="0"/>
        <w:spacing w:before="0" w:after="97"/>
        <w:ind w:left="0" w:right="0" w:firstLine="0"/>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spacing w:before="0" w:after="195"/>
        <w:ind w:left="0" w:right="0" w:firstLine="0"/>
      </w:pPr>
      <w:r>
        <w:rPr>
          <w:lang w:val="ru-RU" w:eastAsia="ru-RU" w:bidi="ru-RU"/>
          <w:w w:val="100"/>
          <w:spacing w:val="0"/>
          <w:color w:val="000000"/>
          <w:position w:val="0"/>
        </w:rPr>
        <w:t>УПРАВЛЕНИЕ Федеральной антимонопольной службы по Республике Адыгея</w:t>
      </w:r>
    </w:p>
    <w:p>
      <w:pPr>
        <w:pStyle w:val="Style8"/>
        <w:widowControl w:val="0"/>
        <w:keepNext w:val="0"/>
        <w:keepLines w:val="0"/>
        <w:shd w:val="clear" w:color="auto" w:fill="auto"/>
        <w:bidi w:val="0"/>
        <w:spacing w:before="0" w:after="368"/>
        <w:ind w:left="0" w:right="0" w:firstLine="0"/>
      </w:pPr>
      <w:r>
        <w:rPr>
          <w:lang w:val="ru-RU" w:eastAsia="ru-RU" w:bidi="ru-RU"/>
          <w:w w:val="100"/>
          <w:spacing w:val="0"/>
          <w:color w:val="000000"/>
          <w:position w:val="0"/>
        </w:rPr>
        <w:t xml:space="preserve">ул. Ленина, 40, г. Майкоп,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"mailto:to01@fas.gov.ni" </w:instrText>
      </w:r>
      <w:r>
        <w:fldChar w:fldCharType="separate"/>
      </w:r>
      <w:r>
        <w:rPr>
          <w:rStyle w:val="Hyperlink"/>
          <w:lang w:val="en-US" w:eastAsia="en-US" w:bidi="en-US"/>
          <w:w w:val="100"/>
          <w:spacing w:val="0"/>
          <w:position w:val="0"/>
        </w:rPr>
        <w:t>to01@fas.gov.ni</w:t>
      </w:r>
      <w:r>
        <w:fldChar w:fldCharType="end"/>
      </w:r>
    </w:p>
    <w:p>
      <w:pPr>
        <w:pStyle w:val="Style10"/>
        <w:widowControl w:val="0"/>
        <w:keepNext w:val="0"/>
        <w:keepLines w:val="0"/>
        <w:shd w:val="clear" w:color="auto" w:fill="auto"/>
        <w:bidi w:val="0"/>
        <w:jc w:val="left"/>
        <w:spacing w:before="0" w:after="285" w:line="260" w:lineRule="exact"/>
        <w:ind w:left="240" w:right="0" w:firstLine="0"/>
      </w:pPr>
      <w:r>
        <w:rPr>
          <w:rStyle w:val="CharStyle12"/>
          <w:i/>
          <w:iCs/>
        </w:rPr>
        <w:t>'/2s?'</w:t>
      </w:r>
      <w:r>
        <w:rPr>
          <w:rStyle w:val="CharStyle12"/>
          <w:lang w:val="ru-RU" w:eastAsia="ru-RU" w:bidi="ru-RU"/>
          <w:i/>
          <w:iCs/>
        </w:rPr>
        <w:t>ЯЗ&amp;</w:t>
      </w:r>
      <w:r>
        <w:rPr>
          <w:lang w:val="ru-RU" w:eastAsia="ru-RU" w:bidi="ru-RU"/>
          <w:w w:val="100"/>
          <w:color w:val="000000"/>
          <w:position w:val="0"/>
        </w:rPr>
        <w:t xml:space="preserve">Ш </w:t>
      </w:r>
      <w:r>
        <w:rPr>
          <w:rStyle w:val="CharStyle12"/>
          <w:lang w:val="ru-RU" w:eastAsia="ru-RU" w:bidi="ru-RU"/>
          <w:i/>
          <w:iCs/>
        </w:rPr>
        <w:t>6^^</w:t>
      </w:r>
    </w:p>
    <w:p>
      <w:pPr>
        <w:pStyle w:val="Style3"/>
        <w:widowControl w:val="0"/>
        <w:keepNext w:val="0"/>
        <w:keepLines w:val="0"/>
        <w:shd w:val="clear" w:color="auto" w:fill="auto"/>
        <w:bidi w:val="0"/>
        <w:jc w:val="left"/>
        <w:spacing w:before="0" w:after="0" w:line="200" w:lineRule="exact"/>
        <w:ind w:left="20" w:right="0" w:firstLine="0"/>
      </w:pPr>
      <w:r>
        <w:rPr>
          <w:lang w:val="ru-RU" w:eastAsia="ru-RU" w:bidi="ru-RU"/>
          <w:w w:val="100"/>
          <w:spacing w:val="0"/>
          <w:color w:val="000000"/>
          <w:position w:val="0"/>
        </w:rPr>
        <w:t>На №</w:t>
      </w:r>
    </w:p>
    <w:p>
      <w:pPr>
        <w:pStyle w:val="Style3"/>
        <w:widowControl w:val="0"/>
        <w:keepNext w:val="0"/>
        <w:keepLines w:val="0"/>
        <w:shd w:val="clear" w:color="auto" w:fill="auto"/>
        <w:bidi w:val="0"/>
        <w:jc w:val="right"/>
        <w:spacing w:before="0" w:after="103" w:line="263" w:lineRule="exact"/>
        <w:ind w:left="20" w:right="0" w:firstLine="0"/>
      </w:pPr>
      <w:r>
        <w:rPr>
          <w:lang w:val="ru-RU" w:eastAsia="ru-RU" w:bidi="ru-RU"/>
          <w:w w:val="100"/>
          <w:spacing w:val="0"/>
          <w:color w:val="000000"/>
          <w:position w:val="0"/>
        </w:rPr>
        <w:t>МОНОПОЛИЕМ ПЭШ1УЕКЮРЭ ФЕДЕРАЛЬНО КЪУЛЫКЪУР</w:t>
      </w:r>
    </w:p>
    <w:p>
      <w:pPr>
        <w:pStyle w:val="Style6"/>
        <w:widowControl w:val="0"/>
        <w:keepNext w:val="0"/>
        <w:keepLines w:val="0"/>
        <w:shd w:val="clear" w:color="auto" w:fill="auto"/>
        <w:bidi w:val="0"/>
        <w:jc w:val="left"/>
        <w:spacing w:before="0" w:after="186" w:line="284" w:lineRule="exact"/>
        <w:ind w:left="380" w:right="0" w:firstLine="0"/>
      </w:pPr>
      <w:r>
        <w:rPr>
          <w:lang w:val="ru-RU" w:eastAsia="ru-RU" w:bidi="ru-RU"/>
          <w:w w:val="100"/>
          <w:spacing w:val="0"/>
          <w:color w:val="000000"/>
          <w:position w:val="0"/>
        </w:rPr>
        <w:t>Монополием пэш1уек1орэ Федеральна къулыкъум Адыгэ РеспубликэмкЬ и Гъэ1орыш1ап1</w:t>
      </w:r>
    </w:p>
    <w:p>
      <w:pPr>
        <w:pStyle w:val="Style8"/>
        <w:widowControl w:val="0"/>
        <w:keepNext w:val="0"/>
        <w:keepLines w:val="0"/>
        <w:shd w:val="clear" w:color="auto" w:fill="auto"/>
        <w:bidi w:val="0"/>
        <w:spacing w:before="0" w:after="505" w:line="202" w:lineRule="exact"/>
        <w:ind w:left="0" w:right="580" w:firstLine="0"/>
      </w:pPr>
      <w:r>
        <w:rPr>
          <w:lang w:val="ru-RU" w:eastAsia="ru-RU" w:bidi="ru-RU"/>
          <w:w w:val="100"/>
          <w:spacing w:val="0"/>
          <w:color w:val="000000"/>
          <w:position w:val="0"/>
        </w:rPr>
        <w:t xml:space="preserve">Лениным иур., 40, къ. Мыекъуапэ,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"mailto:to01@fas.gov.ni" </w:instrText>
      </w:r>
      <w:r>
        <w:fldChar w:fldCharType="separate"/>
      </w:r>
      <w:r>
        <w:rPr>
          <w:rStyle w:val="Hyperlink"/>
          <w:lang w:val="en-US" w:eastAsia="en-US" w:bidi="en-US"/>
          <w:w w:val="100"/>
          <w:spacing w:val="0"/>
          <w:position w:val="0"/>
        </w:rPr>
        <w:t>to01@fas.gov.ni</w:t>
      </w:r>
      <w:r>
        <w:fldChar w:fldCharType="end"/>
      </w:r>
    </w:p>
    <w:p>
      <w:pPr>
        <w:pStyle w:val="Style6"/>
        <w:widowControl w:val="0"/>
        <w:keepNext w:val="0"/>
        <w:keepLines w:val="0"/>
        <w:shd w:val="clear" w:color="auto" w:fill="auto"/>
        <w:bidi w:val="0"/>
        <w:jc w:val="left"/>
        <w:spacing w:before="0" w:after="0" w:line="320" w:lineRule="exact"/>
        <w:ind w:left="20" w:right="0" w:firstLine="0"/>
      </w:pPr>
      <w:r>
        <w:rPr>
          <w:lang w:val="ru-RU" w:eastAsia="ru-RU" w:bidi="ru-RU"/>
          <w:w w:val="100"/>
          <w:spacing w:val="0"/>
          <w:color w:val="000000"/>
          <w:position w:val="0"/>
        </w:rPr>
        <w:t>ИП Шабанова К.В.</w:t>
      </w:r>
    </w:p>
    <w:p>
      <w:pPr>
        <w:pStyle w:val="Style6"/>
        <w:widowControl w:val="0"/>
        <w:keepNext w:val="0"/>
        <w:keepLines w:val="0"/>
        <w:shd w:val="clear" w:color="auto" w:fill="auto"/>
        <w:bidi w:val="0"/>
        <w:jc w:val="left"/>
        <w:spacing w:before="0" w:after="288" w:line="320" w:lineRule="exact"/>
        <w:ind w:left="20" w:right="0" w:firstLine="0"/>
      </w:pPr>
      <w:r>
        <w:rPr>
          <w:lang w:val="ru-RU" w:eastAsia="ru-RU" w:bidi="ru-RU"/>
          <w:w w:val="100"/>
          <w:spacing w:val="0"/>
          <w:color w:val="000000"/>
          <w:position w:val="0"/>
        </w:rPr>
        <w:t xml:space="preserve">344091, Ростов-на-Дону, улица 2-я Краснодарская, дом 90, квартира 14 </w:t>
      </w:r>
      <w:r>
        <w:rPr>
          <w:lang w:val="en-US" w:eastAsia="en-US" w:bidi="en-US"/>
          <w:w w:val="100"/>
          <w:spacing w:val="0"/>
          <w:color w:val="000000"/>
          <w:position w:val="0"/>
        </w:rPr>
        <w:t xml:space="preserve">E-mail: </w:t>
      </w:r>
      <w:r>
        <w:fldChar w:fldCharType="begin"/>
      </w:r>
      <w:r>
        <w:rPr>
          <w:color w:val="000000"/>
        </w:rPr>
        <w:instrText> HYPERLINK "mailto:global.trend@mail.ru" </w:instrText>
      </w:r>
      <w:r>
        <w:fldChar w:fldCharType="separate"/>
      </w:r>
      <w:r>
        <w:rPr>
          <w:rStyle w:val="Hyperlink"/>
          <w:lang w:val="en-US" w:eastAsia="en-US" w:bidi="en-US"/>
          <w:w w:val="100"/>
          <w:spacing w:val="0"/>
          <w:position w:val="0"/>
        </w:rPr>
        <w:t>global.trend@mail.ru</w:t>
      </w:r>
      <w:r>
        <w:fldChar w:fldCharType="end"/>
      </w:r>
    </w:p>
    <w:p>
      <w:pPr>
        <w:pStyle w:val="Style6"/>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ГБУЗ РА «АРКОД им. М.Х. Ашхамафа»</w:t>
      </w:r>
    </w:p>
    <w:p>
      <w:pPr>
        <w:pStyle w:val="Style6"/>
        <w:widowControl w:val="0"/>
        <w:keepNext w:val="0"/>
        <w:keepLines w:val="0"/>
        <w:shd w:val="clear" w:color="auto" w:fill="auto"/>
        <w:bidi w:val="0"/>
        <w:jc w:val="left"/>
        <w:spacing w:before="0" w:after="243" w:line="324" w:lineRule="exact"/>
        <w:ind w:left="20" w:right="0" w:firstLine="0"/>
      </w:pPr>
      <w:r>
        <w:rPr>
          <w:lang w:val="ru-RU" w:eastAsia="ru-RU" w:bidi="ru-RU"/>
          <w:w w:val="100"/>
          <w:spacing w:val="0"/>
          <w:color w:val="000000"/>
          <w:position w:val="0"/>
        </w:rPr>
        <w:t xml:space="preserve">385017, город Майкоп, улица 2-я Короткая, 6 </w:t>
      </w:r>
      <w:r>
        <w:rPr>
          <w:lang w:val="en-US" w:eastAsia="en-US" w:bidi="en-US"/>
          <w:w w:val="100"/>
          <w:spacing w:val="0"/>
          <w:color w:val="000000"/>
          <w:position w:val="0"/>
        </w:rPr>
        <w:t xml:space="preserve">E-mail: </w:t>
      </w:r>
      <w:r>
        <w:fldChar w:fldCharType="begin"/>
      </w:r>
      <w:r>
        <w:rPr>
          <w:color w:val="000000"/>
        </w:rPr>
        <w:instrText> HYPERLINK "mailto:arkod_zakupki@mail.ru" </w:instrText>
      </w:r>
      <w:r>
        <w:fldChar w:fldCharType="separate"/>
      </w:r>
      <w:r>
        <w:rPr>
          <w:rStyle w:val="Hyperlink"/>
          <w:lang w:val="en-US" w:eastAsia="en-US" w:bidi="en-US"/>
          <w:w w:val="100"/>
          <w:spacing w:val="0"/>
          <w:position w:val="0"/>
        </w:rPr>
        <w:t>arkod_zakupki@mail.ru</w:t>
      </w:r>
      <w:r>
        <w:fldChar w:fldCharType="end"/>
      </w:r>
    </w:p>
    <w:p>
      <w:pPr>
        <w:pStyle w:val="Style6"/>
        <w:widowControl w:val="0"/>
        <w:keepNext w:val="0"/>
        <w:keepLines w:val="0"/>
        <w:shd w:val="clear" w:color="auto" w:fill="auto"/>
        <w:bidi w:val="0"/>
        <w:jc w:val="left"/>
        <w:spacing w:before="0" w:after="0" w:line="320" w:lineRule="exact"/>
        <w:ind w:left="20" w:right="0" w:firstLine="0"/>
        <w:sectPr>
          <w:footnotePr>
            <w:pos w:val="pageBottom"/>
            <w:numFmt w:val="decimal"/>
            <w:numRestart w:val="continuous"/>
          </w:footnotePr>
          <w:type w:val="continuous"/>
          <w:pgSz w:w="11906" w:h="16838"/>
          <w:pgMar w:top="834" w:left="884" w:right="855" w:bottom="780" w:header="0" w:footer="3" w:gutter="0"/>
          <w:rtlGutter w:val="0"/>
          <w:cols w:num="2" w:space="720" w:equalWidth="0">
            <w:col w:w="3678" w:space="102"/>
            <w:col w:w="6386"/>
          </w:cols>
          <w:noEndnote/>
          <w:docGrid w:linePitch="360"/>
        </w:sectPr>
      </w:pPr>
      <w:r>
        <w:rPr>
          <w:lang w:val="ru-RU" w:eastAsia="ru-RU" w:bidi="ru-RU"/>
          <w:w w:val="100"/>
          <w:spacing w:val="0"/>
          <w:color w:val="000000"/>
          <w:position w:val="0"/>
        </w:rPr>
        <w:t xml:space="preserve">Комитет Республики Адыгея по регулированию контрактной системы в сфере закупок 385000, город Майкоп, улица Советская, 176 </w:t>
      </w:r>
      <w:r>
        <w:rPr>
          <w:lang w:val="en-US" w:eastAsia="en-US" w:bidi="en-US"/>
          <w:w w:val="100"/>
          <w:spacing w:val="0"/>
          <w:color w:val="000000"/>
          <w:position w:val="0"/>
        </w:rPr>
        <w:t xml:space="preserve">E-mail: </w:t>
      </w:r>
      <w:r>
        <w:fldChar w:fldCharType="begin"/>
      </w:r>
      <w:r>
        <w:rPr>
          <w:color w:val="000000"/>
        </w:rPr>
        <w:instrText> HYPERLINK "mailto:info@zakupkira.ru" </w:instrText>
      </w:r>
      <w:r>
        <w:fldChar w:fldCharType="separate"/>
      </w:r>
      <w:r>
        <w:rPr>
          <w:rStyle w:val="Hyperlink"/>
          <w:lang w:val="en-US" w:eastAsia="en-US" w:bidi="en-US"/>
          <w:w w:val="100"/>
          <w:spacing w:val="0"/>
          <w:position w:val="0"/>
        </w:rPr>
        <w:t>info@zakupkira.ru</w:t>
      </w:r>
      <w:r>
        <w:fldChar w:fldCharType="end"/>
      </w:r>
    </w:p>
    <w:p>
      <w:pPr>
        <w:widowControl w:val="0"/>
        <w:spacing w:before="40" w:after="4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0" w:line="320" w:lineRule="exact"/>
        <w:ind w:left="0" w:right="0" w:firstLine="0"/>
      </w:pPr>
      <w:r>
        <w:rPr>
          <w:lang w:val="ru-RU" w:eastAsia="ru-RU" w:bidi="ru-RU"/>
          <w:w w:val="100"/>
          <w:spacing w:val="0"/>
          <w:color w:val="000000"/>
          <w:position w:val="0"/>
        </w:rPr>
        <w:t>РЕШЕНИЕ</w:t>
      </w:r>
    </w:p>
    <w:p>
      <w:pPr>
        <w:pStyle w:val="Style6"/>
        <w:widowControl w:val="0"/>
        <w:keepNext w:val="0"/>
        <w:keepLines w:val="0"/>
        <w:shd w:val="clear" w:color="auto" w:fill="auto"/>
        <w:bidi w:val="0"/>
        <w:spacing w:before="0" w:after="108" w:line="320" w:lineRule="exact"/>
        <w:ind w:left="0" w:right="0" w:firstLine="0"/>
      </w:pPr>
      <w:r>
        <w:rPr>
          <w:lang w:val="ru-RU" w:eastAsia="ru-RU" w:bidi="ru-RU"/>
          <w:w w:val="100"/>
          <w:spacing w:val="0"/>
          <w:color w:val="000000"/>
          <w:position w:val="0"/>
        </w:rPr>
        <w:t>по делу №001/06/64-531/2021 о нарушении законодательства о контрактной системе в сфере закупок</w:t>
      </w:r>
    </w:p>
    <w:p>
      <w:pPr>
        <w:pStyle w:val="Style6"/>
        <w:tabs>
          <w:tab w:leader="none" w:pos="10114" w:val="right"/>
        </w:tabs>
        <w:widowControl w:val="0"/>
        <w:keepNext w:val="0"/>
        <w:keepLines w:val="0"/>
        <w:shd w:val="clear" w:color="auto" w:fill="auto"/>
        <w:bidi w:val="0"/>
        <w:jc w:val="both"/>
        <w:spacing w:before="0" w:after="63" w:line="260" w:lineRule="exact"/>
        <w:ind w:left="20" w:right="0" w:firstLine="0"/>
      </w:pPr>
      <w:r>
        <w:rPr>
          <w:lang w:val="ru-RU" w:eastAsia="ru-RU" w:bidi="ru-RU"/>
          <w:w w:val="100"/>
          <w:spacing w:val="0"/>
          <w:color w:val="000000"/>
          <w:position w:val="0"/>
        </w:rPr>
        <w:t>15 ноября 2021 года</w:t>
        <w:tab/>
        <w:t>г.Майкоп</w:t>
      </w:r>
    </w:p>
    <w:p>
      <w:pPr>
        <w:pStyle w:val="Style6"/>
        <w:widowControl w:val="0"/>
        <w:keepNext w:val="0"/>
        <w:keepLines w:val="0"/>
        <w:shd w:val="clear" w:color="auto" w:fill="auto"/>
        <w:bidi w:val="0"/>
        <w:jc w:val="left"/>
        <w:spacing w:before="0" w:after="63" w:line="320" w:lineRule="exact"/>
        <w:ind w:left="20" w:right="4220" w:firstLine="0"/>
      </w:pPr>
      <w:r>
        <w:rPr>
          <w:lang w:val="ru-RU" w:eastAsia="ru-RU" w:bidi="ru-RU"/>
          <w:w w:val="100"/>
          <w:spacing w:val="0"/>
          <w:color w:val="000000"/>
          <w:position w:val="0"/>
        </w:rPr>
        <w:t>Резолютивная часть оглашена: 10.11.2021 Решение в полном объеме изготовлено: 15.11.2021</w:t>
      </w:r>
    </w:p>
    <w:p>
      <w:pPr>
        <w:pStyle w:val="Style6"/>
        <w:widowControl w:val="0"/>
        <w:keepNext w:val="0"/>
        <w:keepLines w:val="0"/>
        <w:shd w:val="clear" w:color="auto" w:fill="auto"/>
        <w:bidi w:val="0"/>
        <w:jc w:val="both"/>
        <w:spacing w:before="0" w:after="106" w:line="317"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УФАС) в составе: председателя Комиссии УФАС - Женетля А.Ш., заместителя руководителя; членов Комиссии УФАС: Вдовиной О.Ю., начальника отдела; Блягоза Р.Х., главного специалиста-эксперта, с участием представителей: Заявителя - ИП Шабановой К.В. (далее - Заявитель) Тонконогова А.А. (доверенность от 10.11.2021) и Попова И.Е. (доверенность от 10.11.2021), Заказчика - Государственное бюджетное учреждение здравоохранения Республики Адыгея «Адыгейский республиканский клинический онкологический диспансер имени М.Х. Ашхамафа» (далее - Заказчик) Биданока А.Ю. (доверенность от 14.04.2021), рассмотрев жалобу Заявителя на положения документации электронного аукциона на поставку видеоэндоскопического комплекса (извещение №</w:t>
      </w:r>
      <w:r>
        <w:rPr>
          <w:rStyle w:val="CharStyle13"/>
        </w:rPr>
        <w:t>0176200005521001600</w:t>
      </w:r>
      <w:r>
        <w:rPr>
          <w:lang w:val="ru-RU" w:eastAsia="ru-RU" w:bidi="ru-RU"/>
          <w:w w:val="100"/>
          <w:spacing w:val="0"/>
          <w:color w:val="000000"/>
          <w:position w:val="0"/>
        </w:rPr>
        <w:t xml:space="preserve">) (национальный проект «Здравоохранение») (далее - Аукцион), проведя внеплановую </w:t>
      </w:r>
      <w:r>
        <w:rPr>
          <w:lang w:val="en-US" w:eastAsia="en-US" w:bidi="en-US"/>
          <w:w w:val="100"/>
          <w:spacing w:val="0"/>
          <w:color w:val="000000"/>
          <w:position w:val="0"/>
        </w:rPr>
        <w:t xml:space="preserve">n^dtipScy® </w:t>
      </w:r>
      <w:r>
        <w:rPr>
          <w:lang w:val="ru-RU" w:eastAsia="ru-RU" w:bidi="ru-RU"/>
          <w:w w:val="100"/>
          <w:spacing w:val="0"/>
          <w:color w:val="000000"/>
          <w:position w:val="0"/>
        </w:rPr>
        <w:t>на основании пункта 1 части 15 статьи 99 Федерального закона от 05.04.2013 № 44-ФЗ</w:t>
        <w:br w:type="page"/>
        <w:t>«О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6"/>
        <w:widowControl w:val="0"/>
        <w:keepNext w:val="0"/>
        <w:keepLines w:val="0"/>
        <w:shd w:val="clear" w:color="auto" w:fill="auto"/>
        <w:bidi w:val="0"/>
        <w:jc w:val="left"/>
        <w:spacing w:before="0" w:after="70" w:line="260" w:lineRule="exact"/>
        <w:ind w:left="4440" w:right="0" w:firstLine="0"/>
      </w:pPr>
      <w:r>
        <w:rPr>
          <w:lang w:val="ru-RU" w:eastAsia="ru-RU" w:bidi="ru-RU"/>
          <w:w w:val="100"/>
          <w:spacing w:val="0"/>
          <w:color w:val="000000"/>
          <w:position w:val="0"/>
        </w:rPr>
        <w:t>УСТАНОВИЛА:</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Управление Федеральной антимонопольной службы по Республике Адыгея (далее - Адыгейское УФАС России) 27.10.2021 поступила жалоба Заявителя, в которой указано, что Аукционная документация не соответствуют Закону о контрактной системе по следующим основаниям:</w:t>
      </w:r>
    </w:p>
    <w:p>
      <w:pPr>
        <w:pStyle w:val="Style6"/>
        <w:numPr>
          <w:ilvl w:val="0"/>
          <w:numId w:val="1"/>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Для каждой позиции объекта закупки должны быть применены соответствующие коды КТРУ, а не на общую систему, так как закупается не система в целом, а лишь ее комплектующие, которые имеют свои коды КТРУ.</w:t>
      </w:r>
    </w:p>
    <w:p>
      <w:pPr>
        <w:pStyle w:val="Style6"/>
        <w:numPr>
          <w:ilvl w:val="0"/>
          <w:numId w:val="1"/>
        </w:numPr>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 xml:space="preserve"> Описание объекта закупки не соответствует ГОСТ Р 56278-2014.</w:t>
      </w:r>
    </w:p>
    <w:p>
      <w:pPr>
        <w:pStyle w:val="Style6"/>
        <w:numPr>
          <w:ilvl w:val="0"/>
          <w:numId w:val="1"/>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Заказчик нарушает Постановление Правительства от 19 апреля 2021 г. № 620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w:t>
      </w:r>
    </w:p>
    <w:p>
      <w:pPr>
        <w:pStyle w:val="Style6"/>
        <w:numPr>
          <w:ilvl w:val="0"/>
          <w:numId w:val="1"/>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Параметры позиций «видеоцентр эндоскопический», «источник света эндоскопический» подходят к одному единственному производителю эндоскопического оборудования - </w:t>
      </w:r>
      <w:r>
        <w:rPr>
          <w:lang w:val="en-US" w:eastAsia="en-US" w:bidi="en-US"/>
          <w:w w:val="100"/>
          <w:spacing w:val="0"/>
          <w:color w:val="000000"/>
          <w:position w:val="0"/>
        </w:rPr>
        <w:t>Olympus.</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На основании изложенного Заявитель просит приостановить определение поставщика в части заключения контракта; признать незаконными действия Заказчика, выразившиеся в нарушении Закона о контрактной системе, выдать Заказчику предписание об устранении допущенных нарушений Закона о контрактной системе, провести внеплановую проверку.</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Уполномоченным органом - Комитетом Республики Адыгея по регулированию контрактной системы в сфере закупок на официальном сайте единой информационной системы в сфере закупок </w:t>
      </w:r>
      <w:r>
        <w:rPr>
          <w:lang w:val="en-US" w:eastAsia="en-US" w:bidi="en-US"/>
          <w:w w:val="100"/>
          <w:spacing w:val="0"/>
          <w:color w:val="000000"/>
          <w:position w:val="0"/>
        </w:rPr>
        <w:t xml:space="preserve">zakupki.gov.ru </w:t>
      </w:r>
      <w:r>
        <w:rPr>
          <w:lang w:val="ru-RU" w:eastAsia="ru-RU" w:bidi="ru-RU"/>
          <w:w w:val="100"/>
          <w:spacing w:val="0"/>
          <w:color w:val="000000"/>
          <w:position w:val="0"/>
        </w:rPr>
        <w:t>(далее - Официальный сайт) 20.10.2021 размещены извещение о проведении закупки и документация Аукциона.</w:t>
      </w:r>
    </w:p>
    <w:p>
      <w:pPr>
        <w:pStyle w:val="Style6"/>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Начальная (максимальная) цена контракта - 7 336 201,25 руб.</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Источник финансирования - Средства Республиканского бюджета в рамках программы «Иные межбюджетные трансферты на переоснащение медицинских организаций, оказывающих медицинскую помощь больным с онкологическими заболеваниями (приобретение медицинского оборудования, медицинских изделий)» на 2022 год.</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Аукционная документация утверждена главным врачом ГБУЗ РА «Адыгейский республиканский клинический онкологический диспансер им. М.Х. Ашхамафа» С.Х. Беретарем - 20.10.2021.</w:t>
      </w:r>
    </w:p>
    <w:p>
      <w:pPr>
        <w:pStyle w:val="Style6"/>
        <w:numPr>
          <w:ilvl w:val="0"/>
          <w:numId w:val="3"/>
        </w:numPr>
        <w:tabs>
          <w:tab w:leader="none" w:pos="1064" w:val="left"/>
        </w:tabs>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w:t>
      </w:r>
    </w:p>
    <w:p>
      <w:pPr>
        <w:pStyle w:val="Style6"/>
        <w:tabs>
          <w:tab w:leader="none" w:pos="3796" w:val="left"/>
        </w:tabs>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tab/>
        <w:t>в описании объекта закупки указываются</w:t>
      </w:r>
    </w:p>
    <w:p>
      <w:pPr>
        <w:pStyle w:val="Style6"/>
        <w:widowControl w:val="0"/>
        <w:keepNext w:val="0"/>
        <w:keepLines w:val="0"/>
        <w:shd w:val="clear" w:color="auto" w:fill="auto"/>
        <w:bidi w:val="0"/>
        <w:jc w:val="both"/>
        <w:spacing w:before="0" w:after="0" w:line="320" w:lineRule="exact"/>
        <w:ind w:left="20" w:right="20" w:firstLine="0"/>
      </w:pPr>
      <w:r>
        <w:rPr>
          <w:lang w:val="ru-RU" w:eastAsia="ru-RU" w:bidi="ru-RU"/>
          <w:w w:val="100"/>
          <w:spacing w:val="0"/>
          <w:color w:val="000000"/>
          <w:position w:val="0"/>
        </w:rPr>
        <w:t>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силу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Постановлением Правительства РФ от 08.02.2017 </w:t>
      </w:r>
      <w:r>
        <w:rPr>
          <w:lang w:val="en-US" w:eastAsia="en-US" w:bidi="en-US"/>
          <w:w w:val="100"/>
          <w:spacing w:val="0"/>
          <w:color w:val="000000"/>
          <w:position w:val="0"/>
        </w:rPr>
        <w:t xml:space="preserve">N </w:t>
      </w:r>
      <w:r>
        <w:rPr>
          <w:lang w:val="ru-RU" w:eastAsia="ru-RU" w:bidi="ru-RU"/>
          <w:w w:val="100"/>
          <w:spacing w:val="0"/>
          <w:color w:val="000000"/>
          <w:position w:val="0"/>
        </w:rPr>
        <w:t>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каталога товаров) и Правила использования каталога товаров, работ, услуг для обеспечения государственных и муниципальных нужд (далее - Правила).</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Согласно пункту 2 Правил формирования каталога товаров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Пунктом 4 Правил установлено, что Заказчики обязаны применять информацию, включенную в позицию каталога в соответствии с подпунктами "б" - "г” и "е" - "з" пункта 10 Правил формирования каталога товаров,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Согласно пункту 8 Правил при включении в состав одного лота (одного товара, работы, услуги) нескольких товаров, работ, услуг, на которые в каталоге имеются подлежащие применению позиции каталога и на которые в каталоге отсутствуют соответствующие позиции, заказчик руководствуется требованиями настоящих Правил в отношении каждого такого товара, работы услуги, на которые в каталоге имеется подлежащая применению позиция.</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Заказчиком в качестве объекта закупки определена поставка видеоэндоскопического комплекса. В каталоге товаров, работ, услуг (далее - КТРУ) содержится позиция с наименованием «система эндоскопической визуализации» (26.60.12.119-00000374). В разделе «общие сведения (справочная информация)» указано, что под системой эндоскопической визуализации понимается комплект работающих от сети (сети переменного тока) устройств, разработанных для получения, передачи и отображения видеоизображений во время проведения эндоскопической процедуры. Как правило, состоит из одного или нескольких видеоэндоскопов, эндоскопической камеры, блока управления камерой, источника света со световыми кабелями, устройства для записи видеоданных, блоков визуализации (иногда с функцией цветокомпенсации) и видеодисплея. Все компоненты, как правило, размещаются/устанавливаются на специальной тележке, которую можно перемещать в различные помещения для проведения осмотра/терапевтических процедур. Вместе с тем, в КТРУ отсутствует описание товара.</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соответствии с пунктом 5 Правил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При описании объекта закупки Заказчик воспользовался представленным ему пунктом 5 Правил использования каталога товаров правом и указал в «Техническом задании»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в соответствии с положениями статьи 33 Федерального закона, которые не предусмотрены в позиции каталога.</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Согласно описанию объекта закупки и условиями исполнения контракта, потребностью заказчика является система эндоскопической визуализации в целом, которая в результате исполнения контракта будет не только поставлена, но и собрана, установлена, смонтирована и введена в эксплуатацию как система в целом; элементами системы являются функционально связанные медицинские изделия, применяемыми при оказании скорой, в том числе скорой специализированной, медицинской помощи.</w:t>
      </w:r>
    </w:p>
    <w:p>
      <w:pPr>
        <w:pStyle w:val="Style6"/>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 xml:space="preserve">На основании изложенного, жалобы в данной части является </w:t>
      </w:r>
      <w:r>
        <w:rPr>
          <w:rStyle w:val="CharStyle14"/>
        </w:rPr>
        <w:t>необоснованной.</w:t>
      </w:r>
    </w:p>
    <w:p>
      <w:pPr>
        <w:pStyle w:val="Style6"/>
        <w:numPr>
          <w:ilvl w:val="0"/>
          <w:numId w:val="3"/>
        </w:numPr>
        <w:tabs>
          <w:tab w:leader="none" w:pos="1071" w:val="left"/>
        </w:tabs>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Согласно пункту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Приказом Федерального агентства по техническому регулированию и метрологии от 26.11.2014 </w:t>
      </w:r>
      <w:r>
        <w:rPr>
          <w:lang w:val="en-US" w:eastAsia="en-US" w:bidi="en-US"/>
          <w:w w:val="100"/>
          <w:spacing w:val="0"/>
          <w:color w:val="000000"/>
          <w:position w:val="0"/>
        </w:rPr>
        <w:t xml:space="preserve">N </w:t>
      </w:r>
      <w:r>
        <w:rPr>
          <w:lang w:val="ru-RU" w:eastAsia="ru-RU" w:bidi="ru-RU"/>
          <w:w w:val="100"/>
          <w:spacing w:val="0"/>
          <w:color w:val="000000"/>
          <w:position w:val="0"/>
        </w:rPr>
        <w:t xml:space="preserve">1881-ст "Об утверждении национального стандарта" утвержден </w:t>
      </w:r>
      <w:r>
        <w:rPr>
          <w:rStyle w:val="CharStyle14"/>
        </w:rPr>
        <w:t xml:space="preserve">для добровольного применения </w:t>
      </w:r>
      <w:r>
        <w:rPr>
          <w:lang w:val="ru-RU" w:eastAsia="ru-RU" w:bidi="ru-RU"/>
          <w:w w:val="100"/>
          <w:spacing w:val="0"/>
          <w:color w:val="000000"/>
          <w:position w:val="0"/>
        </w:rPr>
        <w:t>национальный стандарт Российской Федерации ГОСТ Р 56278-2014 "Изделия медицинские электрические. Видеоэндоскопические комплексы с установками для ультразвуковой и флуоресцентной эндоскопии. Технические требования для государственных закупок".</w:t>
      </w:r>
    </w:p>
    <w:p>
      <w:pPr>
        <w:pStyle w:val="Style6"/>
        <w:tabs>
          <w:tab w:leader="none" w:pos="2961" w:val="left"/>
        </w:tabs>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Согласно разделу 1 ГОСТ Р 56278-2014 настоящий стандарт устанавливает общие требования к подготовке проведения государственных закупок медицинского оборудования (МО):</w:t>
        <w:tab/>
        <w:t>видеоэндоскопические комплексы с установками для</w:t>
      </w:r>
    </w:p>
    <w:p>
      <w:pPr>
        <w:pStyle w:val="Style6"/>
        <w:widowControl w:val="0"/>
        <w:keepNext w:val="0"/>
        <w:keepLines w:val="0"/>
        <w:shd w:val="clear" w:color="auto" w:fill="auto"/>
        <w:bidi w:val="0"/>
        <w:jc w:val="both"/>
        <w:spacing w:before="0" w:after="0" w:line="320" w:lineRule="exact"/>
        <w:ind w:left="20" w:right="20" w:firstLine="0"/>
      </w:pPr>
      <w:r>
        <w:rPr>
          <w:lang w:val="ru-RU" w:eastAsia="ru-RU" w:bidi="ru-RU"/>
          <w:w w:val="100"/>
          <w:spacing w:val="0"/>
          <w:color w:val="000000"/>
          <w:position w:val="0"/>
        </w:rPr>
        <w:t>ультразвуковой и флуоресцентной эндоскопии (далее - ВЭ комплексы), предназначенные для диагностики различных заболеваний в организме человека. Стандарт не распространяется на требования к подключенным различным устройствам фиксации (фото-, видеокамеры) или вывода изображения (мониторы,</w:t>
      </w:r>
    </w:p>
    <w:p>
      <w:pPr>
        <w:pStyle w:val="Style6"/>
        <w:widowControl w:val="0"/>
        <w:keepNext w:val="0"/>
        <w:keepLines w:val="0"/>
        <w:shd w:val="clear" w:color="auto" w:fill="auto"/>
        <w:bidi w:val="0"/>
        <w:jc w:val="left"/>
        <w:spacing w:before="0" w:after="0" w:line="320" w:lineRule="exact"/>
        <w:ind w:left="20" w:right="0" w:firstLine="0"/>
      </w:pPr>
      <w:r>
        <w:rPr>
          <w:lang w:val="ru-RU" w:eastAsia="ru-RU" w:bidi="ru-RU"/>
          <w:w w:val="100"/>
          <w:spacing w:val="0"/>
          <w:color w:val="000000"/>
          <w:position w:val="0"/>
        </w:rPr>
        <w:t>принтеры) и эндоскопическим инструментам, применяемым в ходе диагностики.</w:t>
      </w:r>
    </w:p>
    <w:p>
      <w:pPr>
        <w:pStyle w:val="Style6"/>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 xml:space="preserve">В разделе 4.3 ГОСТ Р 56278-2014 установлены требования к приборному составу ВЭ комплексов, а также в таблице 1 приведен пример состава ВЭ комплекса с набором различных типов видсоэндоскопов и рекомендуемые требования. Согласно пункту 4.3.1 ГОСТ Р 56278-2014 ВЭ комплексы должны иметь приборный состав и технические характеристики для выполнения, предусмотренного поставщиком назначения и применения в нормальных условиях их эксплуатации. Также в примечании «Примера состава ВЭ комплекса» установлено, что </w:t>
      </w:r>
      <w:r>
        <w:rPr>
          <w:rStyle w:val="CharStyle14"/>
        </w:rPr>
        <w:t xml:space="preserve">допускается включение и/или исключение рекомендуемых требований </w:t>
      </w:r>
      <w:r>
        <w:rPr>
          <w:lang w:val="ru-RU" w:eastAsia="ru-RU" w:bidi="ru-RU"/>
          <w:w w:val="100"/>
          <w:spacing w:val="0"/>
          <w:color w:val="000000"/>
          <w:position w:val="0"/>
        </w:rPr>
        <w:t>в тендере на закупку ВЭ комплекса, приведенных в таблице 1, по согласованию с заказчиком в соответствии с предусмотренным применением в медицинском учреждении.</w:t>
      </w:r>
    </w:p>
    <w:p>
      <w:pPr>
        <w:pStyle w:val="Style6"/>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Таким образом ввиду того, что в соответствии с положениями ГОСТ Р 56278- 2014 требования настоящего стандарта являются рекомендационными, а также допускают включение и/или исключение рекомендуемых требований в Аукционе на закупку в соответствии с потребностями медицинского учреждения.</w:t>
      </w:r>
    </w:p>
    <w:p>
      <w:pPr>
        <w:pStyle w:val="Style6"/>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 xml:space="preserve">На основании изложенного, жалобы в данной части является </w:t>
      </w:r>
      <w:r>
        <w:rPr>
          <w:rStyle w:val="CharStyle14"/>
        </w:rPr>
        <w:t>необоснованной.</w:t>
      </w:r>
    </w:p>
    <w:p>
      <w:pPr>
        <w:pStyle w:val="Style6"/>
        <w:numPr>
          <w:ilvl w:val="0"/>
          <w:numId w:val="3"/>
        </w:numPr>
        <w:tabs>
          <w:tab w:leader="none" w:pos="1100" w:val="left"/>
        </w:tabs>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Пунктом 2 части 29 статьи 34 Закона о контрактной установлено, что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pPr>
        <w:pStyle w:val="Style6"/>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Пунктом 1 Постановления Правительства Российской Федерации от 19.04.2021 №620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 Постановление №620) установлено, 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 600 тыс. рублей - для заказчиков, у которых объем денежных средств, направленных на закупку медицинских изделий в предшествующем году, составил менее 50 млн. рублей; 1 млн. рублей - для заказчиков, у которых объем денежных средств, направленных на закупку медицинских изделий в предшествующем году, составил от 50 млн. рублей до 100 млн. рублей; 1,5 млн. рублей - для заказчиков, у которых объем денежных средств, направленных на закупку медицинских изделий в предшествующем году, составил более 100 млн. рублей.</w:t>
      </w:r>
    </w:p>
    <w:p>
      <w:pPr>
        <w:pStyle w:val="Style6"/>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 xml:space="preserve">Согласно приложению </w:t>
      </w:r>
      <w:r>
        <w:rPr>
          <w:lang w:val="en-US" w:eastAsia="en-US" w:bidi="en-US"/>
          <w:w w:val="100"/>
          <w:spacing w:val="0"/>
          <w:color w:val="000000"/>
          <w:position w:val="0"/>
        </w:rPr>
        <w:t xml:space="preserve">N </w:t>
      </w:r>
      <w:r>
        <w:rPr>
          <w:lang w:val="ru-RU" w:eastAsia="ru-RU" w:bidi="ru-RU"/>
          <w:w w:val="100"/>
          <w:spacing w:val="0"/>
          <w:color w:val="000000"/>
          <w:position w:val="0"/>
        </w:rPr>
        <w:t xml:space="preserve">1 к приказу Министерства здравоохранения Российской Федерации от 6 июня 2012 года </w:t>
      </w:r>
      <w:r>
        <w:rPr>
          <w:lang w:val="en-US" w:eastAsia="en-US" w:bidi="en-US"/>
          <w:w w:val="100"/>
          <w:spacing w:val="0"/>
          <w:color w:val="000000"/>
          <w:position w:val="0"/>
        </w:rPr>
        <w:t xml:space="preserve">N </w:t>
      </w:r>
      <w:r>
        <w:rPr>
          <w:lang w:val="ru-RU" w:eastAsia="ru-RU" w:bidi="ru-RU"/>
          <w:w w:val="100"/>
          <w:spacing w:val="0"/>
          <w:color w:val="000000"/>
          <w:position w:val="0"/>
        </w:rPr>
        <w:t>4н "Об утверждении номенклатурной классификации медицинских изделий" (далее - Номенклатурная классификация) номенклатурная классификация медицинских изделий по видам (далее - классификация) содержит числовое обозначение вида медицинского изделия - идентификационный уникальный номер записи*, наименование вида медицинского изделия, описание вида медицинского изделия, содержащее соответствующие классификационные признаки вида медицинского изделия, указываемые в зависимости от назначения медицинского изделия.</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На заседании Комиссии УФАС представитель Заказчика пояснил, что согласно Техническому заданию Заказчиком закупаются исключительно товары, отнесенные к коду КТРУ - 26.60.12.119-00000374.</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Таким образом, Заказчиком закупается один вид медицинского изделия, что не противоречит положениям Постановления №620.</w:t>
      </w:r>
    </w:p>
    <w:p>
      <w:pPr>
        <w:pStyle w:val="Style6"/>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 xml:space="preserve">На основании изложенного, жалобы в данной части является </w:t>
      </w:r>
      <w:r>
        <w:rPr>
          <w:rStyle w:val="CharStyle14"/>
        </w:rPr>
        <w:t>необоснованной.</w:t>
      </w:r>
    </w:p>
    <w:p>
      <w:pPr>
        <w:pStyle w:val="Style6"/>
        <w:numPr>
          <w:ilvl w:val="0"/>
          <w:numId w:val="3"/>
        </w:numPr>
        <w:tabs>
          <w:tab w:leader="none" w:pos="1064" w:val="left"/>
        </w:tabs>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w:t>
      </w:r>
    </w:p>
    <w:p>
      <w:pPr>
        <w:pStyle w:val="Style6"/>
        <w:tabs>
          <w:tab w:leader="none" w:pos="3804" w:val="left"/>
        </w:tabs>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tab/>
        <w:t>в описании объекта закупки указываются</w:t>
      </w:r>
    </w:p>
    <w:p>
      <w:pPr>
        <w:pStyle w:val="Style6"/>
        <w:widowControl w:val="0"/>
        <w:keepNext w:val="0"/>
        <w:keepLines w:val="0"/>
        <w:shd w:val="clear" w:color="auto" w:fill="auto"/>
        <w:bidi w:val="0"/>
        <w:jc w:val="both"/>
        <w:spacing w:before="0" w:after="0" w:line="320" w:lineRule="exact"/>
        <w:ind w:left="20" w:right="20" w:firstLine="0"/>
      </w:pPr>
      <w:r>
        <w:rPr>
          <w:lang w:val="ru-RU" w:eastAsia="ru-RU" w:bidi="ru-RU"/>
          <w:w w:val="100"/>
          <w:spacing w:val="0"/>
          <w:color w:val="000000"/>
          <w:position w:val="0"/>
        </w:rPr>
        <w:t>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Описании объекта закупки части IV. «Техническая часть документации об электронном аукционе» указаны следующие характеристики:</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Пункт 5.1.3.12. Регулировка красного, синего и насыщенности цвета, положений для каждого, не менее 17.</w:t>
      </w:r>
    </w:p>
    <w:p>
      <w:pPr>
        <w:pStyle w:val="Style6"/>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Пункт 5.1.3.16. Регулировка яркости, шаги положений, не менее 17.</w:t>
      </w:r>
    </w:p>
    <w:p>
      <w:pPr>
        <w:pStyle w:val="Style6"/>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 xml:space="preserve">Пункт 5.1.3.18. Наличие цифрового видеовыхода </w:t>
      </w:r>
      <w:r>
        <w:rPr>
          <w:lang w:val="en-US" w:eastAsia="en-US" w:bidi="en-US"/>
          <w:w w:val="100"/>
          <w:spacing w:val="0"/>
          <w:color w:val="000000"/>
          <w:position w:val="0"/>
        </w:rPr>
        <w:t xml:space="preserve">IEEE </w:t>
      </w:r>
      <w:r>
        <w:rPr>
          <w:lang w:val="ru-RU" w:eastAsia="ru-RU" w:bidi="ru-RU"/>
          <w:w w:val="100"/>
          <w:spacing w:val="0"/>
          <w:color w:val="000000"/>
          <w:position w:val="0"/>
        </w:rPr>
        <w:t>1394.</w:t>
      </w:r>
    </w:p>
    <w:p>
      <w:pPr>
        <w:pStyle w:val="Style6"/>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 xml:space="preserve">Пункт 5.1.3.26. Размеры видеоцентра, мм не более </w:t>
      </w:r>
      <w:r>
        <w:rPr>
          <w:lang w:val="en-US" w:eastAsia="en-US" w:bidi="en-US"/>
          <w:w w:val="100"/>
          <w:spacing w:val="0"/>
          <w:color w:val="000000"/>
          <w:position w:val="0"/>
        </w:rPr>
        <w:t>382x91x489.</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Пункт 5.1.4.7. Автоматическая регулировка яркости с помощью серво</w:t>
        <w:softHyphen/>
        <w:t>диафрагмы, не менее 17 положений.</w:t>
      </w:r>
    </w:p>
    <w:p>
      <w:pPr>
        <w:pStyle w:val="Style6"/>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Комиссией УФАС установлено, что вышеуказанные параметры подходят к</w:t>
      </w:r>
    </w:p>
    <w:p>
      <w:pPr>
        <w:pStyle w:val="Style6"/>
        <w:widowControl w:val="0"/>
        <w:keepNext w:val="0"/>
        <w:keepLines w:val="0"/>
        <w:shd w:val="clear" w:color="auto" w:fill="auto"/>
        <w:bidi w:val="0"/>
        <w:jc w:val="left"/>
        <w:spacing w:before="0" w:after="0" w:line="320" w:lineRule="exact"/>
        <w:ind w:left="20" w:right="0" w:firstLine="0"/>
      </w:pPr>
      <w:r>
        <w:rPr>
          <w:lang w:val="ru-RU" w:eastAsia="ru-RU" w:bidi="ru-RU"/>
          <w:w w:val="100"/>
          <w:spacing w:val="0"/>
          <w:color w:val="000000"/>
          <w:position w:val="0"/>
        </w:rPr>
        <w:t xml:space="preserve">одному единственному производителю эндоскопического оборудования - </w:t>
      </w:r>
      <w:r>
        <w:rPr>
          <w:lang w:val="en-US" w:eastAsia="en-US" w:bidi="en-US"/>
          <w:w w:val="100"/>
          <w:spacing w:val="0"/>
          <w:color w:val="000000"/>
          <w:position w:val="0"/>
        </w:rPr>
        <w:t>Olympus.</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Из пояснений Заказчика следует, что объектом закупки является поставка видеоэндоскопического комплекса, в том числе, требуется совместимость системы эндоскопической визуализации с имеющимся у Заказчика медицинским оборудованием и используемыми в клинической деятельности для достижения целей оказания высококачественной медицинской помощи и эффективного использования бюджетных средств.</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Кроме того, наличие у Заказчика эндоскопического оборудования </w:t>
      </w:r>
      <w:r>
        <w:rPr>
          <w:lang w:val="en-US" w:eastAsia="en-US" w:bidi="en-US"/>
          <w:w w:val="100"/>
          <w:spacing w:val="0"/>
          <w:color w:val="000000"/>
          <w:position w:val="0"/>
        </w:rPr>
        <w:t xml:space="preserve">Olympus, </w:t>
      </w:r>
      <w:r>
        <w:rPr>
          <w:lang w:val="ru-RU" w:eastAsia="ru-RU" w:bidi="ru-RU"/>
          <w:w w:val="100"/>
          <w:spacing w:val="0"/>
          <w:color w:val="000000"/>
          <w:position w:val="0"/>
        </w:rPr>
        <w:t>подтверждается исполненными контрактами от 02.07.2019 №0176200005519001007, от 05.07.2019 №0176200005519001063.</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Вместе с тем, Аукционная документация не содержит информацию о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При таких обстоятельствах, в действиях Заказчика усматривается нарушение </w:t>
      </w:r>
      <w:r>
        <w:rPr>
          <w:rStyle w:val="CharStyle14"/>
        </w:rPr>
        <w:t xml:space="preserve">пункта 1 части 1 статьи 64 (статьи 33) </w:t>
      </w:r>
      <w:r>
        <w:rPr>
          <w:lang w:val="ru-RU" w:eastAsia="ru-RU" w:bidi="ru-RU"/>
          <w:w w:val="100"/>
          <w:spacing w:val="0"/>
          <w:color w:val="000000"/>
          <w:position w:val="0"/>
        </w:rPr>
        <w:t xml:space="preserve">Закона о контрактной системе, следовательно, жалоба в данной части является </w:t>
      </w:r>
      <w:r>
        <w:rPr>
          <w:rStyle w:val="CharStyle14"/>
        </w:rPr>
        <w:t>обоснованной.</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Вышеуказанное нарушение содержат признаки состава административного правонарушения, предусмотренного </w:t>
      </w:r>
      <w:r>
        <w:rPr>
          <w:rStyle w:val="CharStyle14"/>
        </w:rPr>
        <w:t xml:space="preserve">частью </w:t>
      </w:r>
      <w:r>
        <w:rPr>
          <w:lang w:val="ru-RU" w:eastAsia="ru-RU" w:bidi="ru-RU"/>
          <w:w w:val="100"/>
          <w:spacing w:val="0"/>
          <w:color w:val="000000"/>
          <w:position w:val="0"/>
        </w:rPr>
        <w:t xml:space="preserve">4.2 </w:t>
      </w:r>
      <w:r>
        <w:rPr>
          <w:rStyle w:val="CharStyle14"/>
        </w:rPr>
        <w:t xml:space="preserve">статьи </w:t>
      </w:r>
      <w:r>
        <w:rPr>
          <w:lang w:val="ru-RU" w:eastAsia="ru-RU" w:bidi="ru-RU"/>
          <w:w w:val="100"/>
          <w:spacing w:val="0"/>
          <w:color w:val="000000"/>
          <w:position w:val="0"/>
        </w:rPr>
        <w:t>7.30 КоАП РФ.</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Административным регламентом, Комиссия УФАС</w:t>
      </w:r>
    </w:p>
    <w:p>
      <w:pPr>
        <w:pStyle w:val="Style6"/>
        <w:widowControl w:val="0"/>
        <w:keepNext w:val="0"/>
        <w:keepLines w:val="0"/>
        <w:shd w:val="clear" w:color="auto" w:fill="auto"/>
        <w:bidi w:val="0"/>
        <w:jc w:val="left"/>
        <w:spacing w:before="0" w:after="0" w:line="260" w:lineRule="exact"/>
        <w:ind w:left="4820" w:right="0" w:firstLine="0"/>
      </w:pPr>
      <w:r>
        <w:rPr>
          <w:lang w:val="ru-RU" w:eastAsia="ru-RU" w:bidi="ru-RU"/>
          <w:w w:val="100"/>
          <w:spacing w:val="0"/>
          <w:color w:val="000000"/>
          <w:position w:val="0"/>
        </w:rPr>
        <w:t>РЕШИЛА:</w:t>
      </w:r>
    </w:p>
    <w:p>
      <w:pPr>
        <w:pStyle w:val="Style6"/>
        <w:numPr>
          <w:ilvl w:val="0"/>
          <w:numId w:val="5"/>
        </w:numPr>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 xml:space="preserve"> Признать жалобу ИП Шабановой К.В. частично обоснованной.</w:t>
      </w:r>
    </w:p>
    <w:p>
      <w:pPr>
        <w:pStyle w:val="Style6"/>
        <w:numPr>
          <w:ilvl w:val="0"/>
          <w:numId w:val="5"/>
        </w:numPr>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 Признать в действиях Заказчика нарушение пункта 1 части 1 статьи 64 (статьи 33) Закона о контрактной системе.</w:t>
      </w:r>
    </w:p>
    <w:p>
      <w:pPr>
        <w:pStyle w:val="Style6"/>
        <w:numPr>
          <w:ilvl w:val="0"/>
          <w:numId w:val="5"/>
        </w:numPr>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 Предписание не выдавать, так как выявленное нарушение не повлияло на результаты определения поставщика.</w:t>
      </w:r>
    </w:p>
    <w:p>
      <w:pPr>
        <w:pStyle w:val="Style6"/>
        <w:numPr>
          <w:ilvl w:val="0"/>
          <w:numId w:val="5"/>
        </w:numPr>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 Передать должностному лицу Адыгейского УФАС России материалы дела №001/06/64-531/2021 для рассмотрения вопроса о возбуждении дела по выявленным признакам административного правонарушения.</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6"/>
        <w:widowControl w:val="0"/>
        <w:keepNext w:val="0"/>
        <w:keepLines w:val="0"/>
        <w:shd w:val="clear" w:color="auto" w:fill="auto"/>
        <w:bidi w:val="0"/>
        <w:jc w:val="left"/>
        <w:spacing w:before="0" w:after="0" w:line="482" w:lineRule="exact"/>
        <w:ind w:left="20" w:right="160" w:firstLine="0"/>
      </w:pPr>
      <w:r>
        <w:rPr>
          <w:lang w:val="ru-RU" w:eastAsia="ru-RU" w:bidi="ru-RU"/>
          <w:w w:val="100"/>
          <w:spacing w:val="0"/>
          <w:color w:val="000000"/>
          <w:position w:val="0"/>
        </w:rPr>
        <w:t>Председатель Комиссии Члены Комиссии:</w:t>
      </w:r>
    </w:p>
    <w:sectPr>
      <w:type w:val="continuous"/>
      <w:pgSz w:w="11906" w:h="16838"/>
      <w:pgMar w:top="1357" w:left="865" w:right="807" w:bottom="101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10"/>
    </w:rPr>
  </w:style>
  <w:style w:type="character" w:customStyle="1" w:styleId="CharStyle5">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_"/>
    <w:basedOn w:val="DefaultParagraphFont"/>
    <w:link w:val="Style6"/>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3)_"/>
    <w:basedOn w:val="DefaultParagraphFont"/>
    <w:link w:val="Style8"/>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_"/>
    <w:basedOn w:val="DefaultParagraphFont"/>
    <w:link w:val="Style10"/>
    <w:rPr>
      <w:b w:val="0"/>
      <w:bCs w:val="0"/>
      <w:i/>
      <w:iCs/>
      <w:u w:val="none"/>
      <w:strike w:val="0"/>
      <w:smallCaps w:val="0"/>
      <w:sz w:val="26"/>
      <w:szCs w:val="26"/>
      <w:rFonts w:ascii="Times New Roman" w:eastAsia="Times New Roman" w:hAnsi="Times New Roman" w:cs="Times New Roman"/>
      <w:spacing w:val="-20"/>
    </w:rPr>
  </w:style>
  <w:style w:type="character" w:customStyle="1" w:styleId="CharStyle12">
    <w:name w:val="Основной текст (4)"/>
    <w:basedOn w:val="CharStyle11"/>
    <w:rPr>
      <w:lang w:val="en-US" w:eastAsia="en-US" w:bidi="en-US"/>
      <w:u w:val="single"/>
      <w:w w:val="100"/>
      <w:color w:val="000000"/>
      <w:position w:val="0"/>
    </w:rPr>
  </w:style>
  <w:style w:type="character" w:customStyle="1" w:styleId="CharStyle13">
    <w:name w:val="Основной текст"/>
    <w:basedOn w:val="CharStyle7"/>
    <w:rPr>
      <w:lang w:val="ru-RU" w:eastAsia="ru-RU" w:bidi="ru-RU"/>
      <w:u w:val="single"/>
      <w:w w:val="100"/>
      <w:spacing w:val="0"/>
      <w:color w:val="000000"/>
      <w:position w:val="0"/>
    </w:rPr>
  </w:style>
  <w:style w:type="character" w:customStyle="1" w:styleId="CharStyle14">
    <w:name w:val="Основной текст + Полужирный"/>
    <w:basedOn w:val="CharStyle7"/>
    <w:rPr>
      <w:lang w:val="ru-RU" w:eastAsia="ru-RU" w:bidi="ru-RU"/>
      <w:b/>
      <w:bCs/>
      <w:w w:val="100"/>
      <w:spacing w:val="0"/>
      <w:color w:val="000000"/>
      <w:position w:val="0"/>
    </w:rPr>
  </w:style>
  <w:style w:type="paragraph" w:customStyle="1" w:styleId="Style3">
    <w:name w:val="Основной текст (2)"/>
    <w:basedOn w:val="Normal"/>
    <w:link w:val="CharStyle5"/>
    <w:pPr>
      <w:widowControl w:val="0"/>
      <w:shd w:val="clear" w:color="auto" w:fill="FFFFFF"/>
      <w:jc w:val="center"/>
      <w:spacing w:after="120" w:line="259"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center"/>
      <w:spacing w:before="120" w:after="120" w:line="28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120" w:after="420" w:line="194"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spacing w:before="420" w:after="360" w:line="0" w:lineRule="exact"/>
    </w:pPr>
    <w:rPr>
      <w:b w:val="0"/>
      <w:bCs w:val="0"/>
      <w:i/>
      <w:iCs/>
      <w:u w:val="none"/>
      <w:strike w:val="0"/>
      <w:smallCaps w:val="0"/>
      <w:sz w:val="26"/>
      <w:szCs w:val="26"/>
      <w:rFonts w:ascii="Times New Roman" w:eastAsia="Times New Roman" w:hAnsi="Times New Roman" w:cs="Times New Roman"/>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