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ГУП «Московский метрополитен»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пр-т. Мира, д. 41, стр. 2, г. Москва,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7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129110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«ДТЗ»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Щепкина, д. 51/4, стр. 2, г. Москва,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129110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«Спецмедпроект-Регион»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Верхняя Радищевская, д. 6, стр. 4,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8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Москва, 109240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7"/>
        <w:tabs>
          <w:tab w:leader="none" w:pos="1012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2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077/06/106-19643/2021 о нарушении законодательства о контрактной системе 11.11.2021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ГУП «Московский метрополитен», ГКУ «ДТЗ», ООО «Спецмедпроект-Регион»,</w:t>
      </w:r>
    </w:p>
    <w:p>
      <w:pPr>
        <w:pStyle w:val="Style3"/>
        <w:framePr w:w="1685" w:h="394" w:wrap="around" w:vAnchor="text" w:hAnchor="margin" w:x="375" w:y="319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000964642028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«Спецмедпроект-Регион» (далее — Заявитель) на действия ГУП «Московский метрополитен» (далее — Заказчик) при проведении электронного аукциона на право заключения государственного контракта на поставку дезинфицирую</w:t>
      </w:r>
      <w:r>
        <w:rPr>
          <w:rStyle w:val="CharStyle9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средств (Закупка № 0373200082121001034)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22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 (далее — Административный регламент),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22" w:line="260" w:lineRule="exact"/>
        <w:ind w:left="44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02.11.2021 №ЕИ/67170/21.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Заказчиком неправомерно размещен протокол признания участника уклонившимся от заключения контракта от 29.10.2021 №ППУ1 на основании предоставления обеспечения исполнения контракта в форме банковской гарантий, не соответствующей требованиям аукционной документации и положениям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 18.10.2021 №0373200082121001034-3 ООО «Спецмедпроект-Регион» признано победителем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ч.1 ст.83.2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Законом о контрактной системе,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ст.83.2 Закона о контрактной системе в течение пяти дней с даты размещения в единой информационной системе указанных в ч.12 ст.54.7, ч.8 ст.69, ч.8 ст.82.4, ч.23 ст.83.1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ч.23 ст.68 Закона о контрактной системе, информации о товаре (товарном знаке и (или) конкретных показателях товара), информации, предусмотренной п.2 ч.4 ст.54.4, п.7 ч.9 ст.83.1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ч.4 ст.83.2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ч.4 ст.96 Закона о контрактной системе контракт заключается после предоставления участником закупки, с которым заключается контракт, обеспечения исполнения контракта в соответствии с Законом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ч.3 ст.96 Закона о контрактной системе исполнение контракта может обеспечиваться, в частности, предоставлением банковской гарантии, выданной банком и соответствующей требованиям ст.45 Закона о контрактной системы,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Ч.2 ст.45 Закона о контрактной системе установлен перечень информации, которая должна содержать банковская гарантия.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ч.5 ст.96 Закона о контактной системе в случае непредставления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>
      <w:pPr>
        <w:pStyle w:val="Style5"/>
        <w:tabs>
          <w:tab w:leader="none" w:pos="62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победителем аукциона направлен подписанный проект контракта и обеспечение исполнения контракта в виде банковской гарантии от 26.10.2021</w:t>
        <w:tab/>
        <w:t>№2036472/203674 выданной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ПАО «Совкомбанк» (далее — Банковская гарантия).</w:t>
      </w:r>
    </w:p>
    <w:p>
      <w:pPr>
        <w:pStyle w:val="Style5"/>
        <w:tabs>
          <w:tab w:leader="none" w:pos="212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также отмечает, что в п.26.2 Информационной карты аукционной документации установлены требования к банковской гарантии в соответствии с постановлением Правительства Российской Федерации от 08.11.2013 №</w:t>
        <w:tab/>
        <w:t>1005 «О банковских гарантиях, используемых для целей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«О контрактной системе в сфере закупок товаров, работ, услуг для обеспечения государственных и муниципальных нужд» (далее - Постановление №1005).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ч.8.2 ст.45 Закона о контрактной системе дополнительные требования к банковской гарантии, используемой для целей Закона о контрактной системе, порядок ведения и размещения в единой информационной системе реестра банковских гарантий, порядок формирования и ведения закрытого реестра банковских гарантий, в том числе включения в него информации, порядок и сроки предоставления выписок из него, форма требования об осуществлении уплаты денежной суммы по банковской гарантии устанавливаются Правительством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ст.376 Гражданского Кодекса Российской Федерации гарант отказывает бенефициару в удовлетворении его требования, если это требование или приложенные к нему документы не соответствуют условиям независимой гарантии либо представлены гаранту по окончании срока действия независимой гарантии. Гарант должен уведомить об этом бенефициара в срок, предусмотренный пунктом 2 статьи 375 Гражданского Кодекса Российской Федерации, указав причину отказа.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представители Заявителя пояснили, что Заказчик отказал в принятии Банковской гарантии, ввиду наличия в данной гарантии условия о необходимости заверения требования об уплате денежных средств печатью Заказчика.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вышеуказанное основание для отказа в принятии Банковской гарантий является незаконным в связи с тем, что Постановлением №1005 утверждена форма требования об осуществлении уплаты денежной суммы по банковской гарантии, согласно образцу которой требование содержит поле для проставления оттиска печати Бенефициара, которое располагается непосредственно над подписью и инициалами уполномоченного лица бенефициара, что свидетельствует об обязательности проставления Бенефициаром печати на требовании. Более того законодательно не установлено запрета требовать заверения документов печатью Бенефициара.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банковская гарантия, представленная Заявителем, содержит, в частности, следующее: п.3.1 «В случае если Бенефициар является юридическим лицом требование об уплате денежных сумм по настоящей Гарантии должно быть скреплено оттиском печати Бенефициара».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силу ч.1 ст. 376 Гражданского Кодекса Российской Федерации в случае отсутствия в направленном требовании печати Бенефициара банк отказывает в выплате за несоответствие условиям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разделе Постановления №1005 «Дополнительные требования к банковской гарантии, используемой для целей федерального закона «О контрактной системе в сфере закупок товаров, работ, услуг для обеспечения государственных и муниципальных нужд», непосредственно относящемся к содержанию условий банковской гарантии, не содержится каких-либо оговорок и положений о включении в текст банковской гарантии требований об обязательном заверении документов печатью.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Вышеуказанным разделом Постановления №1005 урегулировано, что недопустимо установление требований о предоставлении заказчиком гаранту одновременно с требованием об осуществлении уплаты денежной суммы по банковской гарантии документов, не включенных в перечень документов, представляемых заказчиком банку одновременно с требованием об осуществлении уплаты денежной суммы по банковской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Бенефициар одновременно с требованием об осуществлении уплаты денежной суммы по банковской гарантии, предоставленной в качестве обеспечения заявки, направляет гаранту документ, подтверждающий полномочия лица, подписавшего требование по банковской гарантии (доверенность) (в случае, если требование по банковской гарантии подписано лицом, не указанным в Едином государственном реестре юридических лиц в качестве лица, имеющего право без доверенности действовать от имени бенефициара).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рамках дел №№ А41-26981/2018, А54-3821/2017 Верховным судом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указано, что полномочия лица, подписывающего требование, в обязательном порядке прикладываются бенефициаром во исполнение п. 1 Перечня для недопущения спора о полномочиях. В таком случае отсутствие печати на представленном требовании не может служить основанием для отказа в выплате по Гарантии в силу абз. 3 п. 1 ст. 160 Гражданского Кодекса Российской Федерации. Согласно приведенной норме, скрепление печатью является дополнительным требованием, которому должна соответствовать форма сделки и которое может быть предусмотрено законом, иными правовыми актами или соглашением сторон.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банковская гарантия является односторонней сделкой. В силу разъяснений п. 11 постановления Пленума Высшего Арбитражного Суда Российской Федерации от 14.03.2014 № 16 «О свободе договора и ее пределах» толкование условий банковских гарантий должно осуществляться в пользу бенефициара.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п.3 ч.6 ст.45 Закона о контрактной системе основанием для отказа в принятии банковской гарантии заказчиком является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Заказчика имелись основания для признания банковской гарантии не соответствующей требованиям аукционной документации, и принятие Заказчиком решения об отказе от заключения контракта не противоречит положениям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2" w:line="312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26" w:line="260" w:lineRule="exact"/>
        <w:ind w:left="480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«Спецмедпроект-Регион» на действия ГУП «Московский метрополитен» необоснованной.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288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 путем проведения конкурса, наложенные письмом Московского УФАС России от 02.11.2021 №ЕИ/67170/21.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20" w:line="288" w:lineRule="exact"/>
        <w:ind w:left="20" w:right="2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86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 Казарин</w:t>
      </w:r>
    </w:p>
    <w:p>
      <w:pPr>
        <w:pStyle w:val="Style5"/>
        <w:tabs>
          <w:tab w:leader="none" w:pos="8943" w:val="right"/>
          <w:tab w:leader="none" w:pos="101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638" w:lineRule="exact"/>
        <w:ind w:left="0" w:right="20" w:firstLine="0"/>
      </w:pPr>
      <w:r>
        <w:rPr>
          <w:rStyle w:val="CharStyle12"/>
        </w:rPr>
        <w:t>А.А.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Кутейников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80" w:left="838" w:right="814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3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