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92" w:line="260" w:lineRule="exact"/>
        <w:ind w:left="5340" w:right="0" w:firstLine="0"/>
      </w:pPr>
      <w:r>
        <w:rPr>
          <w:lang w:val="ru-RU" w:eastAsia="ru-RU" w:bidi="ru-RU"/>
          <w:w w:val="100"/>
          <w:spacing w:val="0"/>
          <w:color w:val="000000"/>
          <w:position w:val="0"/>
        </w:rPr>
        <w:t>ГУП «Московский метрополитен»</w:t>
      </w:r>
    </w:p>
    <w:p>
      <w:pPr>
        <w:pStyle w:val="Style5"/>
        <w:widowControl w:val="0"/>
        <w:keepNext w:val="0"/>
        <w:keepLines w:val="0"/>
        <w:shd w:val="clear" w:color="auto" w:fill="auto"/>
        <w:bidi w:val="0"/>
        <w:jc w:val="left"/>
        <w:spacing w:before="0" w:after="0" w:line="260" w:lineRule="exact"/>
        <w:ind w:left="5340" w:right="0" w:firstLine="0"/>
      </w:pPr>
      <w:r>
        <w:rPr>
          <w:lang w:val="ru-RU" w:eastAsia="ru-RU" w:bidi="ru-RU"/>
          <w:w w:val="100"/>
          <w:spacing w:val="0"/>
          <w:color w:val="000000"/>
          <w:position w:val="0"/>
        </w:rPr>
        <w:t>пр-кт. Мира, д. 41, стр. 2, г. Москва,</w:t>
      </w:r>
    </w:p>
    <w:p>
      <w:pPr>
        <w:pStyle w:val="Style5"/>
        <w:widowControl w:val="0"/>
        <w:keepNext w:val="0"/>
        <w:keepLines w:val="0"/>
        <w:shd w:val="clear" w:color="auto" w:fill="auto"/>
        <w:bidi w:val="0"/>
        <w:jc w:val="left"/>
        <w:spacing w:before="0" w:after="297" w:line="260" w:lineRule="exact"/>
        <w:ind w:left="5340" w:right="0" w:firstLine="0"/>
      </w:pPr>
      <w:r>
        <w:rPr>
          <w:lang w:val="ru-RU" w:eastAsia="ru-RU" w:bidi="ru-RU"/>
          <w:w w:val="100"/>
          <w:spacing w:val="0"/>
          <w:color w:val="000000"/>
          <w:position w:val="0"/>
        </w:rPr>
        <w:t>129110</w:t>
      </w:r>
    </w:p>
    <w:p>
      <w:pPr>
        <w:pStyle w:val="Style5"/>
        <w:widowControl w:val="0"/>
        <w:keepNext w:val="0"/>
        <w:keepLines w:val="0"/>
        <w:shd w:val="clear" w:color="auto" w:fill="auto"/>
        <w:bidi w:val="0"/>
        <w:jc w:val="left"/>
        <w:spacing w:before="0" w:after="302" w:line="260" w:lineRule="exact"/>
        <w:ind w:left="5340" w:right="0" w:firstLine="0"/>
      </w:pPr>
      <w:r>
        <w:rPr>
          <w:lang w:val="ru-RU" w:eastAsia="ru-RU" w:bidi="ru-RU"/>
          <w:w w:val="100"/>
          <w:spacing w:val="0"/>
          <w:color w:val="000000"/>
          <w:position w:val="0"/>
        </w:rPr>
        <w:t>ГКУ «ДТЗ»</w:t>
      </w:r>
    </w:p>
    <w:p>
      <w:pPr>
        <w:pStyle w:val="Style5"/>
        <w:widowControl w:val="0"/>
        <w:keepNext w:val="0"/>
        <w:keepLines w:val="0"/>
        <w:shd w:val="clear" w:color="auto" w:fill="auto"/>
        <w:bidi w:val="0"/>
        <w:jc w:val="left"/>
        <w:spacing w:before="0" w:after="0" w:line="260" w:lineRule="exact"/>
        <w:ind w:left="5340" w:right="0" w:firstLine="0"/>
      </w:pPr>
      <w:r>
        <w:rPr>
          <w:lang w:val="ru-RU" w:eastAsia="ru-RU" w:bidi="ru-RU"/>
          <w:w w:val="100"/>
          <w:spacing w:val="0"/>
          <w:color w:val="000000"/>
          <w:position w:val="0"/>
        </w:rPr>
        <w:t>ул. Щепкина, д. 51/4, стр. 2, г. Москва,</w:t>
      </w:r>
    </w:p>
    <w:p>
      <w:pPr>
        <w:pStyle w:val="Style5"/>
        <w:widowControl w:val="0"/>
        <w:keepNext w:val="0"/>
        <w:keepLines w:val="0"/>
        <w:shd w:val="clear" w:color="auto" w:fill="auto"/>
        <w:bidi w:val="0"/>
        <w:jc w:val="left"/>
        <w:spacing w:before="0" w:after="357" w:line="260" w:lineRule="exact"/>
        <w:ind w:left="5340" w:right="0" w:firstLine="0"/>
      </w:pPr>
      <w:r>
        <w:rPr>
          <w:lang w:val="ru-RU" w:eastAsia="ru-RU" w:bidi="ru-RU"/>
          <w:w w:val="100"/>
          <w:spacing w:val="0"/>
          <w:color w:val="000000"/>
          <w:position w:val="0"/>
        </w:rPr>
        <w:t>129110</w:t>
      </w:r>
    </w:p>
    <w:p>
      <w:pPr>
        <w:pStyle w:val="Style5"/>
        <w:widowControl w:val="0"/>
        <w:keepNext w:val="0"/>
        <w:keepLines w:val="0"/>
        <w:shd w:val="clear" w:color="auto" w:fill="auto"/>
        <w:bidi w:val="0"/>
        <w:jc w:val="left"/>
        <w:spacing w:before="0" w:after="292" w:line="260" w:lineRule="exact"/>
        <w:ind w:left="5340" w:right="0" w:firstLine="0"/>
      </w:pPr>
      <w:r>
        <w:rPr>
          <w:lang w:val="ru-RU" w:eastAsia="ru-RU" w:bidi="ru-RU"/>
          <w:w w:val="100"/>
          <w:spacing w:val="0"/>
          <w:color w:val="000000"/>
          <w:position w:val="0"/>
        </w:rPr>
        <w:t>ООО «АБЗ Капотня»</w:t>
      </w:r>
    </w:p>
    <w:p>
      <w:pPr>
        <w:pStyle w:val="Style5"/>
        <w:widowControl w:val="0"/>
        <w:keepNext w:val="0"/>
        <w:keepLines w:val="0"/>
        <w:shd w:val="clear" w:color="auto" w:fill="auto"/>
        <w:bidi w:val="0"/>
        <w:jc w:val="left"/>
        <w:spacing w:before="0" w:after="0" w:line="260" w:lineRule="exact"/>
        <w:ind w:left="5340" w:right="0" w:firstLine="0"/>
      </w:pPr>
      <w:r>
        <w:rPr>
          <w:lang w:val="ru-RU" w:eastAsia="ru-RU" w:bidi="ru-RU"/>
          <w:w w:val="100"/>
          <w:spacing w:val="0"/>
          <w:color w:val="000000"/>
          <w:position w:val="0"/>
        </w:rPr>
        <w:t>ул. Карьер ЗИЛ, д. 4, пом. 9,</w:t>
      </w:r>
    </w:p>
    <w:p>
      <w:pPr>
        <w:pStyle w:val="Style5"/>
        <w:widowControl w:val="0"/>
        <w:keepNext w:val="0"/>
        <w:keepLines w:val="0"/>
        <w:shd w:val="clear" w:color="auto" w:fill="auto"/>
        <w:bidi w:val="0"/>
        <w:jc w:val="left"/>
        <w:spacing w:before="0" w:after="298" w:line="260" w:lineRule="exact"/>
        <w:ind w:left="5340" w:right="0" w:firstLine="0"/>
      </w:pPr>
      <w:r>
        <w:rPr>
          <w:lang w:val="ru-RU" w:eastAsia="ru-RU" w:bidi="ru-RU"/>
          <w:w w:val="100"/>
          <w:spacing w:val="0"/>
          <w:color w:val="000000"/>
          <w:position w:val="0"/>
        </w:rPr>
        <w:t>г. Дзержинский, 140093</w:t>
      </w:r>
    </w:p>
    <w:p>
      <w:pPr>
        <w:pStyle w:val="Style7"/>
        <w:tabs>
          <w:tab w:leader="none" w:pos="11362" w:val="right"/>
          <w:tab w:leader="none" w:pos="12418" w:val="right"/>
        </w:tabs>
        <w:widowControl w:val="0"/>
        <w:keepNext w:val="0"/>
        <w:keepLines w:val="0"/>
        <w:shd w:val="clear" w:color="auto" w:fill="auto"/>
        <w:bidi w:val="0"/>
        <w:jc w:val="left"/>
        <w:spacing w:before="0" w:after="0"/>
        <w:ind w:left="2280" w:right="2260" w:firstLine="2100"/>
      </w:pPr>
      <w:r>
        <w:rPr>
          <w:lang w:val="ru-RU" w:eastAsia="ru-RU" w:bidi="ru-RU"/>
          <w:w w:val="100"/>
          <w:spacing w:val="0"/>
          <w:color w:val="000000"/>
          <w:position w:val="0"/>
        </w:rPr>
        <w:t>РЕШЕНИЕ по делу №077/06/106-19711/2021 о нарушении законодательства о контрактной системе</w:t>
      </w:r>
    </w:p>
    <w:p>
      <w:pPr>
        <w:pStyle w:val="Style7"/>
        <w:numPr>
          <w:ilvl w:val="0"/>
          <w:numId w:val="1"/>
        </w:numPr>
        <w:tabs>
          <w:tab w:leader="none" w:pos="9122" w:val="right"/>
          <w:tab w:leader="none" w:pos="10178" w:val="right"/>
          <w:tab w:leader="none" w:pos="8978" w:val="left"/>
        </w:tabs>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г.</w:t>
        <w:tab/>
        <w:t>Москва</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5"/>
        <w:tabs>
          <w:tab w:leader="none" w:pos="659"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Н.А. Узкого,</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Специалиста-эксперта отдела обжалования государственных закупок А.С. Леонтьевой,</w:t>
      </w:r>
    </w:p>
    <w:p>
      <w:pPr>
        <w:pStyle w:val="Style5"/>
        <w:tabs>
          <w:tab w:leader="none" w:pos="633" w:val="left"/>
        </w:tabs>
        <w:widowControl w:val="0"/>
        <w:keepNext w:val="0"/>
        <w:keepLines w:val="0"/>
        <w:shd w:val="clear" w:color="auto" w:fill="auto"/>
        <w:bidi w:val="0"/>
        <w:jc w:val="both"/>
        <w:spacing w:before="0" w:after="0" w:line="322" w:lineRule="exact"/>
        <w:ind w:left="40" w:right="20" w:firstLine="94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ГУП «Московский метрополитен»: Ивановой О.Ю. (доверенность №НЮ- 14/875 от 05.08.2021),</w:t>
      </w:r>
    </w:p>
    <w:p>
      <w:pPr>
        <w:pStyle w:val="Style5"/>
        <w:tabs>
          <w:tab w:leader="none" w:pos="2737" w:val="left"/>
        </w:tabs>
        <w:widowControl w:val="0"/>
        <w:keepNext w:val="0"/>
        <w:keepLines w:val="0"/>
        <w:shd w:val="clear" w:color="auto" w:fill="auto"/>
        <w:bidi w:val="0"/>
        <w:jc w:val="both"/>
        <w:spacing w:before="0" w:after="0" w:line="264" w:lineRule="exact"/>
        <w:ind w:left="40" w:right="0" w:firstLine="700"/>
      </w:pPr>
      <w:r>
        <w:rPr>
          <w:lang w:val="ru-RU" w:eastAsia="ru-RU" w:bidi="ru-RU"/>
          <w:w w:val="100"/>
          <w:spacing w:val="0"/>
          <w:color w:val="000000"/>
          <w:position w:val="0"/>
        </w:rPr>
        <w:t>ГКУ «ДТЗ»:</w:t>
        <w:tab/>
        <w:t>Русановой И.Г. (доверенность №ДТЗЗД-04-01-01-34 от</w:t>
      </w:r>
    </w:p>
    <w:p>
      <w:pPr>
        <w:pStyle w:val="Style5"/>
        <w:widowControl w:val="0"/>
        <w:keepNext w:val="0"/>
        <w:keepLines w:val="0"/>
        <w:shd w:val="clear" w:color="auto" w:fill="auto"/>
        <w:bidi w:val="0"/>
        <w:jc w:val="both"/>
        <w:spacing w:before="0" w:after="0" w:line="264" w:lineRule="exact"/>
        <w:ind w:left="40" w:right="0" w:firstLine="0"/>
      </w:pPr>
      <w:r>
        <w:rPr>
          <w:lang w:val="ru-RU" w:eastAsia="ru-RU" w:bidi="ru-RU"/>
          <w:w w:val="100"/>
          <w:spacing w:val="0"/>
          <w:color w:val="000000"/>
          <w:position w:val="0"/>
        </w:rPr>
        <w:t>01.12.2020)</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ООО «АБЗ Капотня»: Ольхова Д.В. (доверенность б/н от 02.11.2021), Силкина А.В. (доверенность от 08.11.2021)</w:t>
      </w:r>
    </w:p>
    <w:p>
      <w:pPr>
        <w:pStyle w:val="Style3"/>
        <w:framePr w:w="1685" w:h="394" w:wrap="around" w:vAnchor="text" w:hAnchor="margin" w:x="375" w:y="1604"/>
        <w:widowControl w:val="0"/>
        <w:keepNext w:val="0"/>
        <w:keepLines w:val="0"/>
        <w:shd w:val="clear" w:color="auto" w:fill="auto"/>
        <w:bidi w:val="0"/>
        <w:jc w:val="left"/>
        <w:spacing w:before="0" w:after="0" w:line="240" w:lineRule="auto"/>
        <w:ind w:left="0" w:right="0" w:firstLine="0"/>
      </w:pPr>
      <w:r>
        <w:rPr>
          <w:w w:val="100"/>
          <w:spacing w:val="0"/>
          <w:color w:val="000000"/>
          <w:position w:val="0"/>
        </w:rPr>
        <w:t>001609143741</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рассмотрев жалобу ООО «АБЗ Капотня» (далее — Заявитель) на действия ГУП «Московский метрополитен» (далее — Заказчик) при проведении электронного аукциона на право заключения государственного контракта на поставку асфальтобетонных смесей для ремонта трамвайных путей (Закупка</w:t>
      </w:r>
      <w:r>
        <w:br w:type="page"/>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 0373200082121001053)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9"/>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jc w:val="left"/>
        <w:spacing w:before="0" w:after="0"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На заседание Комиссии Управления Заказчиком представлены документы и сведения, запрашиваемые письмом Московского УФАС России (исх. № ЕИ/67351/21 от 03.11.2021).</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Комиссией Управления установлено следующее.</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Согласно доводам жалобы Заявителя Заказчиком неправомерно размещен протокол признания участника уклонившимся от заключения контракта от 29.10.2021 №ППУ1 на основании предоставления обеспечения исполнения контракта в форме банковской гарантии, не соответствующей требованиям аукционной документации и положениям Закона о контрактной системе.</w:t>
      </w:r>
    </w:p>
    <w:p>
      <w:pPr>
        <w:pStyle w:val="Style5"/>
        <w:widowControl w:val="0"/>
        <w:keepNext w:val="0"/>
        <w:keepLines w:val="0"/>
        <w:shd w:val="clear" w:color="auto" w:fill="auto"/>
        <w:bidi w:val="0"/>
        <w:jc w:val="both"/>
        <w:spacing w:before="0" w:after="0" w:line="307" w:lineRule="exact"/>
        <w:ind w:left="20" w:right="0" w:firstLine="700"/>
      </w:pPr>
      <w:r>
        <w:rPr>
          <w:lang w:val="ru-RU" w:eastAsia="ru-RU" w:bidi="ru-RU"/>
          <w:w w:val="100"/>
          <w:spacing w:val="0"/>
          <w:color w:val="000000"/>
          <w:position w:val="0"/>
        </w:rPr>
        <w:t>В соответствии с протоколом подведения итогов электронного аукциона от</w:t>
      </w:r>
    </w:p>
    <w:p>
      <w:pPr>
        <w:pStyle w:val="Style5"/>
        <w:numPr>
          <w:ilvl w:val="0"/>
          <w:numId w:val="3"/>
        </w:numPr>
        <w:tabs>
          <w:tab w:leader="none" w:pos="1422" w:val="left"/>
        </w:tabs>
        <w:widowControl w:val="0"/>
        <w:keepNext w:val="0"/>
        <w:keepLines w:val="0"/>
        <w:shd w:val="clear" w:color="auto" w:fill="auto"/>
        <w:bidi w:val="0"/>
        <w:jc w:val="both"/>
        <w:spacing w:before="0" w:after="0" w:line="307" w:lineRule="exact"/>
        <w:ind w:left="20" w:right="20" w:firstLine="0"/>
      </w:pPr>
      <w:r>
        <w:rPr>
          <w:lang w:val="ru-RU" w:eastAsia="ru-RU" w:bidi="ru-RU"/>
          <w:w w:val="100"/>
          <w:spacing w:val="0"/>
          <w:color w:val="000000"/>
          <w:position w:val="0"/>
        </w:rPr>
        <w:t>№0373200082121001053-3 ООО «АБЗ Капотня» признан победителем электронного аукциона.</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На основании ч.1 ст.83.2 Закона о контрактной системе по результатам электронной процедуры контракт заключается с победителем электронной процедуры, а в случаях, предусмотренных Законом о контрактной системе,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силу ч.2 ст.83.2 Закона о контрактной системе в течение пяти дней с даты размещения в единой информационной системе указанных в ч.12 ст.54.7, ч.8 ст.69, ч.8 ст.82.4, ч.23 ст.83.1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ч.23 ст.68 Закона о контрактной системе, информации о товаре (товарном знаке и (или) конкретных показателях товара), информации, предусмотренной п.2 ч.4 ст.54.4, п.7 ч.9 ст.83.1 Закона о контрактной системе, указанных в заявке, окончательном предложении участника электронной процедуры.</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силу ч.3 ст.83.2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ч.4 ст.83.2 Закона о контрактной системе.</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На основании ч.4 ст.96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о контрактной системе.</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силу ч.3 ст.96 Закона о контрактной системе исполнение контракта может обеспечиваться, в частности, предоставлением банковской гарантии, выданной банком и соответствующей требованиям ст.45 Закона о контрактной системы,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Закона о контрактной системе.</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Ч.2 ст.45 Закона о контрактной системе установлен перечень информации, которая должна содержать банковская гарантия.</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соответствии с ч.5 ст.96 Закона о контактной системе в случае непредставления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силу ч.3 ст.83.2 Закона о контрактной системе Заявитель подписал со своей стороны проект контракта с приложением Банковской гарантии от 26.10.2021 № 546743, выданной АО КБ «Модульбанк» (далее - банковская гарантия).</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Согласно ч.5 ст.45 Закона о контрактной системе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pPr>
        <w:pStyle w:val="Style5"/>
        <w:tabs>
          <w:tab w:leader="none" w:pos="3673" w:val="left"/>
        </w:tabs>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Комиссией Управления установлено, что п.26.2 Информационной карты аукционной документации предъявлено требование о включении в банковскую гарантию, представляемую в качестве обеспечения контракта, в том числе следующих обязательств:</w:t>
        <w:tab/>
        <w:t>«обязательство возместить убытки, понесенные</w:t>
      </w:r>
    </w:p>
    <w:p>
      <w:pPr>
        <w:pStyle w:val="Style5"/>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Заказчиком в связи с неисполнением или ненадлежащим исполнением Подрядчиком своих обязательств по Контракту».</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 xml:space="preserve">Согласно п.2 ст. 15 ГК РФ 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w:t>
      </w:r>
      <w:r>
        <w:rPr>
          <w:rStyle w:val="CharStyle12"/>
        </w:rPr>
        <w:t>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r>
        <w:rPr>
          <w:lang w:val="ru-RU" w:eastAsia="ru-RU" w:bidi="ru-RU"/>
          <w:w w:val="100"/>
          <w:spacing w:val="0"/>
          <w:color w:val="000000"/>
          <w:position w:val="0"/>
        </w:rPr>
        <w:t>.</w:t>
      </w:r>
    </w:p>
    <w:p>
      <w:pPr>
        <w:pStyle w:val="Style5"/>
        <w:widowControl w:val="0"/>
        <w:keepNext w:val="0"/>
        <w:keepLines w:val="0"/>
        <w:shd w:val="clear" w:color="auto" w:fill="auto"/>
        <w:bidi w:val="0"/>
        <w:jc w:val="both"/>
        <w:spacing w:before="0" w:after="0" w:line="312" w:lineRule="exact"/>
        <w:ind w:left="20" w:right="0" w:firstLine="700"/>
      </w:pPr>
      <w:r>
        <w:rPr>
          <w:lang w:val="ru-RU" w:eastAsia="ru-RU" w:bidi="ru-RU"/>
          <w:w w:val="100"/>
          <w:spacing w:val="0"/>
          <w:color w:val="000000"/>
          <w:position w:val="0"/>
        </w:rPr>
        <w:t>Вместе с тем в п.2 Банковской гарантии указано: п. 2 «Гарантия обеспечивает исполнение Принципалом его обязательств перед Бенефициаром по Контракту, в том числе, обязательств Принципала по уплате неустоек (штрафов, пеней), предусмотренных Контрактом, а также обязательств Принципала по возмещению убытков (за исключением упущенной выгоды) при их наличии в случаях и на условиях, предусмотренных Контрактом».</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в соответствии с условиями гарантии обязательства Гаранта не распространяются на упущенную выгоду Бенефициара, что напрямую не соответствует требованиям аукционной документации, которая не содержала указанное исключение.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 учетом вышеизложенного, Комиссия Управления приходит к выводу, что Банковская Гарантия не содержит в полном объеме обязательств по контракту, которые должны быть обеспечены в соответствии с п.26.2 Информационной карты аукционной документации.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ч. 6 ст. 45 Закона о контрактной системе основанием для отказа в принятии банковской гарантии заказчиком является:</w:t>
      </w:r>
    </w:p>
    <w:p>
      <w:pPr>
        <w:pStyle w:val="Style5"/>
        <w:numPr>
          <w:ilvl w:val="0"/>
          <w:numId w:val="5"/>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отсутствие информации о банковской гарантии в реестре банковских гарантий;</w:t>
      </w:r>
    </w:p>
    <w:p>
      <w:pPr>
        <w:pStyle w:val="Style5"/>
        <w:numPr>
          <w:ilvl w:val="0"/>
          <w:numId w:val="5"/>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несоответствие банковской гарантии условиям, указанным в ч.2 и 3 ст. 45 Закона о контрактной системе;</w:t>
      </w:r>
    </w:p>
    <w:p>
      <w:pPr>
        <w:pStyle w:val="Style5"/>
        <w:numPr>
          <w:ilvl w:val="0"/>
          <w:numId w:val="5"/>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Комиссия Управления приходит к выводу о необоснованности доводов жалобы, так как у Заказчика имелись основания для признания банковской гарантии не соответствующей требованиям аукционной документации.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7"/>
        <w:widowControl w:val="0"/>
        <w:keepNext w:val="0"/>
        <w:keepLines w:val="0"/>
        <w:shd w:val="clear" w:color="auto" w:fill="auto"/>
        <w:bidi w:val="0"/>
        <w:jc w:val="center"/>
        <w:spacing w:before="0" w:after="0"/>
        <w:ind w:left="20" w:right="0" w:firstLine="0"/>
      </w:pPr>
      <w:r>
        <w:rPr>
          <w:lang w:val="ru-RU" w:eastAsia="ru-RU" w:bidi="ru-RU"/>
          <w:w w:val="100"/>
          <w:spacing w:val="0"/>
          <w:color w:val="000000"/>
          <w:position w:val="0"/>
        </w:rPr>
        <w:t>РЕШИЛА:</w:t>
      </w:r>
    </w:p>
    <w:p>
      <w:pPr>
        <w:pStyle w:val="Style5"/>
        <w:numPr>
          <w:ilvl w:val="0"/>
          <w:numId w:val="7"/>
        </w:numPr>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 xml:space="preserve"> Признать жалобу ООО «АБЗ Капотня» на действия ГУП «Московский метрополитен» необоснованной.</w:t>
      </w:r>
    </w:p>
    <w:p>
      <w:pPr>
        <w:pStyle w:val="Style5"/>
        <w:numPr>
          <w:ilvl w:val="0"/>
          <w:numId w:val="7"/>
        </w:numPr>
        <w:widowControl w:val="0"/>
        <w:keepNext w:val="0"/>
        <w:keepLines w:val="0"/>
        <w:shd w:val="clear" w:color="auto" w:fill="auto"/>
        <w:bidi w:val="0"/>
        <w:jc w:val="both"/>
        <w:spacing w:before="0" w:after="296" w:line="302" w:lineRule="exact"/>
        <w:ind w:left="20" w:right="20" w:firstLine="70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аукциона, наложенные письмом Московского УФАС России (исх. №ЕИ/67351/21 от 03.11.2021).</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386" w:val="left"/>
        </w:tabs>
        <w:widowControl w:val="0"/>
        <w:keepNext w:val="0"/>
        <w:keepLines w:val="0"/>
        <w:shd w:val="clear" w:color="auto" w:fill="auto"/>
        <w:bidi w:val="0"/>
        <w:jc w:val="both"/>
        <w:spacing w:before="0" w:after="472" w:line="260" w:lineRule="exact"/>
        <w:ind w:left="20" w:right="0" w:firstLine="0"/>
      </w:pPr>
      <w:r>
        <w:rPr>
          <w:lang w:val="ru-RU" w:eastAsia="ru-RU" w:bidi="ru-RU"/>
          <w:w w:val="100"/>
          <w:spacing w:val="0"/>
          <w:color w:val="000000"/>
          <w:position w:val="0"/>
        </w:rPr>
        <w:t>Председатель Комиссии</w:t>
        <w:tab/>
        <w:t>Л.Н. Харченко</w:t>
      </w:r>
    </w:p>
    <w:p>
      <w:pPr>
        <w:pStyle w:val="Style5"/>
        <w:tabs>
          <w:tab w:leader="none" w:pos="8790" w:val="right"/>
          <w:tab w:leader="none" w:pos="10129" w:val="right"/>
        </w:tabs>
        <w:widowControl w:val="0"/>
        <w:keepNext w:val="0"/>
        <w:keepLines w:val="0"/>
        <w:shd w:val="clear" w:color="auto" w:fill="auto"/>
        <w:bidi w:val="0"/>
        <w:jc w:val="both"/>
        <w:spacing w:before="0" w:after="352" w:line="260" w:lineRule="exact"/>
        <w:ind w:left="20" w:right="0" w:firstLine="0"/>
      </w:pPr>
      <w:r>
        <w:rPr>
          <w:lang w:val="ru-RU" w:eastAsia="ru-RU" w:bidi="ru-RU"/>
          <w:w w:val="100"/>
          <w:spacing w:val="0"/>
          <w:color w:val="000000"/>
          <w:position w:val="0"/>
        </w:rPr>
        <w:t>Члены комиссии</w:t>
        <w:tab/>
        <w:t>А.С.</w:t>
        <w:tab/>
        <w:t>Леонтьева</w:t>
      </w:r>
    </w:p>
    <w:p>
      <w:pPr>
        <w:pStyle w:val="Style5"/>
        <w:widowControl w:val="0"/>
        <w:keepNext w:val="0"/>
        <w:keepLines w:val="0"/>
        <w:shd w:val="clear" w:color="auto" w:fill="auto"/>
        <w:bidi w:val="0"/>
        <w:jc w:val="right"/>
        <w:spacing w:before="0" w:after="66" w:line="260" w:lineRule="exact"/>
        <w:ind w:left="0" w:right="20" w:firstLine="0"/>
      </w:pPr>
      <w:r>
        <w:rPr>
          <w:lang w:val="ru-RU" w:eastAsia="ru-RU" w:bidi="ru-RU"/>
          <w:w w:val="100"/>
          <w:spacing w:val="0"/>
          <w:color w:val="000000"/>
          <w:position w:val="0"/>
        </w:rPr>
        <w:t>Н.А. Узкий</w:t>
      </w:r>
    </w:p>
    <w:p>
      <w:pPr>
        <w:pStyle w:val="Style13"/>
        <w:widowControl w:val="0"/>
        <w:keepNext w:val="0"/>
        <w:keepLines w:val="0"/>
        <w:shd w:val="clear" w:color="auto" w:fill="auto"/>
        <w:bidi w:val="0"/>
        <w:spacing w:before="0" w:after="0" w:line="200" w:lineRule="exact"/>
        <w:ind w:left="20" w:right="0" w:firstLine="0"/>
      </w:pPr>
      <w:r>
        <w:rPr>
          <w:lang w:val="ru-RU" w:eastAsia="ru-RU" w:bidi="ru-RU"/>
          <w:w w:val="100"/>
          <w:spacing w:val="0"/>
          <w:color w:val="000000"/>
          <w:position w:val="0"/>
        </w:rPr>
        <w:t>Исп.Леонтьева А.С.</w:t>
      </w:r>
    </w:p>
    <w:sectPr>
      <w:footnotePr>
        <w:pos w:val="pageBottom"/>
        <w:numFmt w:val="decimal"/>
        <w:numRestart w:val="continuous"/>
      </w:footnotePr>
      <w:type w:val="continuous"/>
      <w:pgSz w:w="11906" w:h="16838"/>
      <w:pgMar w:top="1118" w:left="846" w:right="822"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1.11.%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2.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 Курсив"/>
    <w:basedOn w:val="CharStyle6"/>
    <w:rPr>
      <w:lang w:val="ru-RU" w:eastAsia="ru-RU" w:bidi="ru-RU"/>
      <w:i/>
      <w:iCs/>
      <w:w w:val="100"/>
      <w:spacing w:val="0"/>
      <w:color w:val="000000"/>
      <w:position w:val="0"/>
    </w:rPr>
  </w:style>
  <w:style w:type="character" w:customStyle="1" w:styleId="CharStyle14">
    <w:name w:val="Основной текст (3)_"/>
    <w:basedOn w:val="DefaultParagraphFont"/>
    <w:link w:val="Style13"/>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42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both"/>
      <w:spacing w:before="120"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