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0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городского округа Сухой Лог 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«Научно-исследовательский проектный институт «Промышленное и гражданское строительство»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71" w:left="6092" w:right="913" w:bottom="76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widowControl w:val="0"/>
        <w:spacing w:line="124" w:lineRule="exact"/>
        <w:rPr>
          <w:sz w:val="10"/>
          <w:szCs w:val="10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1885" w:h="341" w:wrap="around" w:vAnchor="text" w:hAnchor="margin" w:x="6767" w:y="183"/>
        <w:widowControl w:val="0"/>
        <w:keepNext w:val="0"/>
        <w:keepLines w:val="0"/>
        <w:shd w:val="clear" w:color="auto" w:fill="auto"/>
        <w:bidi w:val="0"/>
        <w:spacing w:before="0" w:after="14" w:line="180" w:lineRule="exact"/>
        <w:ind w:left="0" w:right="0" w:firstLine="0"/>
      </w:pPr>
      <w:r>
        <w:rPr>
          <w:rStyle w:val="CharStyle5"/>
          <w:spacing w:val="0"/>
        </w:rPr>
        <w:t>ООО «РТС-тендер»</w:t>
      </w:r>
    </w:p>
    <w:p>
      <w:pPr>
        <w:pStyle w:val="Style6"/>
        <w:framePr w:w="1885" w:h="341" w:wrap="around" w:vAnchor="text" w:hAnchor="margin" w:x="6767" w:y="183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2680" w:firstLine="170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</w:t>
      </w:r>
      <w:r>
        <w:rPr>
          <w:rStyle w:val="CharStyle10"/>
        </w:rPr>
        <w:t>НИЕ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0" w:line="23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Свердловской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2" w:line="23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Московская, 11, г. Екатеринбург, 620014 тел. (343) 377-00-83, факс (343) 377-00-84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to66@fas.gov.ru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632" w:line="190" w:lineRule="exact"/>
        <w:ind w:left="24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2" w:line="23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жалобе № 066/06/106-3951/2021</w:t>
      </w:r>
    </w:p>
    <w:p>
      <w:pPr>
        <w:pStyle w:val="Style3"/>
        <w:tabs>
          <w:tab w:leader="none" w:pos="1027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89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10.11.2021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" w:line="19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 сфере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(далее по тексту - Комиссия)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20" w:right="0" w:firstLine="700"/>
      </w:pP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 в 11 часов 00 минут, при участии представителей: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Администрации городского округа Сухой Лог, — *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заявителя в лице ООО «Научно-исследовательский проектный институт «Промышленное и гражданское строительство», — 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9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рассмотрела жалобу ООО «Научно-исследовательский проектный институт «Промышленное и гражданское строительство» (далее — ООО «НИПИ ПГС») (*) о нарушении заказчиком в лице Администрации городского округа Сухой Лог (*), его комиссией при осуществлении закупки путем проведения процедуры открытого конкурса в электронной форме на разработку проектно-сметной документации по объекту "Реконструкция станции обезжелезивания воды городского округа Сухой Лог" (извещение № 0162300000521000046),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0" w:after="161" w:line="190" w:lineRule="exact"/>
        <w:ind w:left="41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«Научно-исследовательский проектный институт «Промышленное и гражданское строительство» (вх. № 01-29742 от 08.11.2021) о нарушении заказчиком в лице Администрации городского округа Сухой Лог, его комиссией при осуществлении закупки путем проведения процедуры открытого конкурса в электронной форме на разработку проектно</w:t>
        <w:softHyphen/>
        <w:t>сметной документации по объекту "Реконструкция станции обезжелезивания воды городского округа Сухой Лог" (извещение № 0162300000521000046) Закона о контрактной системе, соответствующая требованиям статьи 105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протокол рассмотрения вторых частей заявок и итоговый протокол были составлены с нарушениями положений действующего законодательства.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по доводам, изложенным в жалобе, не согласился, просил признать жалобу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ст. 106 Закона о контрактной системе. 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23.09.2021г. на официальном сайте опубликовано извещение о проведении открытого конкурса в электронной форме № 0162300000521000046 и конкурсная документация на разработку проектно-сметной документации по объекту "Реконструкция станции обезжелезивания воды городского округа Сухой Лог" 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11 254 142, 68 рублей.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(ч. 1 ст. 54.1 Закона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3, 5 ч. 12 ст. 54.7 Закона о контрактной системе протокол подведения итогов открытого конкурса в электронной форме должен содержать информацию:</w:t>
      </w:r>
    </w:p>
    <w:p>
      <w:pPr>
        <w:pStyle w:val="Style3"/>
        <w:numPr>
          <w:ilvl w:val="0"/>
          <w:numId w:val="3"/>
        </w:numPr>
        <w:tabs>
          <w:tab w:leader="none" w:pos="10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конкурсе;</w:t>
      </w:r>
    </w:p>
    <w:p>
      <w:pPr>
        <w:pStyle w:val="Style3"/>
        <w:numPr>
          <w:ilvl w:val="0"/>
          <w:numId w:val="5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этом, число членов конкурсной комиссии должно быть не менее чем пять человек (ч. 3 ст. 39 Закона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5 ст. 39 Закона о контрактной системе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правомочна осуществлять свои функции, если на заседании комиссии присутствует не менее чем пятьдесят процентов общего числа ее членов (ч. 8 ст. 39 Закона о контрактной системе).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первым доводом жалобы, представитель заявителя ставит под сомнение квалификацию членов закупочной комиссии, присутствовавших при подведении итогов по данной закупке.</w:t>
      </w:r>
    </w:p>
    <w:p>
      <w:pPr>
        <w:pStyle w:val="Style3"/>
        <w:tabs>
          <w:tab w:leader="underscore" w:pos="1084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в п. 3</w:t>
      </w:r>
      <w:r>
        <w:fldChar w:fldCharType="begin"/>
      </w:r>
      <w:r>
        <w:rPr>
          <w:color w:val="000000"/>
        </w:rPr>
        <w:instrText> HYPERLINK "https://zakupki.gov.ru/epz/order/notice/ok504/view/protocol/protocol-main-info.html?regNumber=0162300000521000046&amp;protocolId=35207943"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Протокола подведения итогов открытого конкурса в электронной форме от</w:t>
      </w:r>
      <w:r>
        <w:fldChar w:fldCharType="end"/>
      </w:r>
    </w:p>
    <w:p>
      <w:pPr>
        <w:pStyle w:val="Style3"/>
        <w:numPr>
          <w:ilvl w:val="0"/>
          <w:numId w:val="7"/>
        </w:numPr>
        <w:tabs>
          <w:tab w:leader="underscore" w:pos="10124" w:val="left"/>
          <w:tab w:leader="none" w:pos="10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0"/>
      </w:pPr>
      <w:r>
        <w:fldChar w:fldCharType="begin"/>
      </w:r>
      <w:r>
        <w:rPr>
          <w:color w:val="000000"/>
        </w:rPr>
        <w:instrText> HYPERLINK "https://zakupki.gov.ru/epz/order/notice/ok504/view/protocol/protocol-main-info.html?regNumber=0162300000521000046&amp;protocolId=35207943"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№1II1И1 с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одержится следующая информация о составе конкурсной комиссии:</w:t>
        <w:tab/>
      </w:r>
    </w:p>
    <w:tbl>
      <w:tblPr>
        <w:tblOverlap w:val="never"/>
        <w:tblLayout w:type="fixed"/>
        <w:jc w:val="center"/>
      </w:tblPr>
      <w:tblGrid>
        <w:gridCol w:w="4085"/>
        <w:gridCol w:w="2851"/>
        <w:gridCol w:w="2856"/>
      </w:tblGrid>
      <w:tr>
        <w:trPr>
          <w:trHeight w:val="45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Роль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Статус</w:t>
            </w:r>
          </w:p>
        </w:tc>
      </w:tr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Абрамова Людмила Андреевна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Председатель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отсутствовал</w:t>
            </w:r>
          </w:p>
        </w:tc>
      </w:tr>
      <w:tr>
        <w:trPr>
          <w:trHeight w:val="7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Кузнецова Анастасия Павловна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Зам. председателя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присутствовал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Блинова Виктория Юрьевна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отсутствовал</w:t>
            </w:r>
          </w:p>
        </w:tc>
      </w:tr>
      <w:tr>
        <w:trPr>
          <w:trHeight w:val="50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Туманова Елена Сергеевна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присутствовал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Панова Анастасия Андреевна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Член комиссии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отсутствовал</w:t>
            </w:r>
          </w:p>
        </w:tc>
      </w:tr>
      <w:tr>
        <w:trPr>
          <w:trHeight w:val="55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Сенникова Владлена Олеговна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Секретарь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979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присутствовал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при подведении итогов открытого конкурса в электронной форме из шести членов комиссии присутствовало три, что составляет пятьдесят процентов общего числа ее членов и удовлетворяет требованиям ч. 8 т. 39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предоставленной заказчиком на заседании Комиссии, документами, подтверждающими квалификацию присутствующих членов, являлись удостоверения о повышении квалификации: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Кузнецовой А.П. (№ 663101524823 от 22.01.2021г.),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Тумановой Е.С. (№ А471/21 от 26.07.2021г.),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Сенниковой В.О. (№ 663101524843 от 22.01.2021).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данный довод заявителя жалобы, касающийся вопроса о наличии прохождения членами закупочной комиссии профессиональной переподготовки, Комиссия Свердловского УФАС России находит не отвечающим действительности.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3, 4 ч. 7 ст. 54.7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форме, подписываемом всеми присутствующими на заседании членами конкурсной комиссии не позднее даты окончания рассмотрения вторых частей заявок. Данный протокол должен содержать информацию: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открытом конкурсе в электронной форме, которые не соответствуют этим требованиям;</w:t>
      </w:r>
    </w:p>
    <w:p>
      <w:pPr>
        <w:pStyle w:val="Style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подателя жалобы, комиссия при рассмотрении вторых частей заявок приняла решение о соответствии заявки № 110693543 без обоснования такого решения, что может являться нарушением положений Закона о контрактной системе.</w:t>
      </w:r>
    </w:p>
    <w:p>
      <w:pPr>
        <w:pStyle w:val="Style13"/>
        <w:framePr w:w="10301" w:wrap="notBeside" w:vAnchor="text" w:hAnchor="text" w:xAlign="center" w:y="1"/>
        <w:tabs>
          <w:tab w:leader="underscore" w:pos="10291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fldChar w:fldCharType="begin"/>
      </w:r>
      <w:r>
        <w:rPr>
          <w:color w:val="000000"/>
        </w:rPr>
        <w:instrText> HYPERLINK "https://zakupki.gov.ru/epz/order/notice/ok504/view/protocol/protocol-main-info.html?regNumber=0162300000521000046&amp;protocolId=35207533"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Протокол рассмотрения и оценки вторых частей заявок на участие в открытом конкурсе в электронной форме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rStyle w:val="CharStyle15"/>
        </w:rPr>
        <w:instrText> HYPERLINK "https://zakupki.gov.ru/epz/order/notice/ok504/view/protocol/protocol-main-info.html?regNumber=0162300000521000046&amp;protocolId=35207533" </w:instrText>
      </w:r>
      <w:r>
        <w:fldChar w:fldCharType="separate"/>
      </w:r>
      <w:r>
        <w:rPr>
          <w:rStyle w:val="Hyperlink"/>
        </w:rPr>
        <w:t>от 21.10.2021 №ПРОП1 с</w:t>
      </w:r>
      <w:r>
        <w:fldChar w:fldCharType="end"/>
      </w:r>
      <w:r>
        <w:rPr>
          <w:rStyle w:val="CharStyle15"/>
        </w:rPr>
        <w:t>одержит в себе следующую: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2578"/>
        <w:gridCol w:w="2573"/>
        <w:gridCol w:w="2568"/>
        <w:gridCol w:w="2582"/>
      </w:tblGrid>
      <w:tr>
        <w:trPr>
          <w:trHeight w:val="93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Идентификационный номер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Решение о соответствии или несоответствии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90" w:lineRule="exact"/>
              <w:ind w:left="0" w:right="260" w:firstLine="0"/>
            </w:pPr>
            <w:r>
              <w:rPr>
                <w:rStyle w:val="CharStyle12"/>
              </w:rPr>
              <w:t>Обоснование решения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Итоговая оценка заявки по критериям, установленным п. 4 ч. 1 ст. 32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110689559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40,00</w:t>
            </w:r>
          </w:p>
        </w:tc>
      </w:tr>
      <w:tr>
        <w:trPr>
          <w:trHeight w:val="61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110693543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0,00</w:t>
            </w:r>
          </w:p>
        </w:tc>
      </w:tr>
    </w:tbl>
    <w:p>
      <w:pPr>
        <w:widowControl w:val="0"/>
        <w:spacing w:line="180" w:lineRule="exact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2578"/>
        <w:gridCol w:w="2573"/>
        <w:gridCol w:w="2568"/>
        <w:gridCol w:w="2582"/>
      </w:tblGrid>
      <w:tr>
        <w:trPr>
          <w:trHeight w:val="70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Идентификационный номер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Решение о соответствии или несоответствии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90" w:lineRule="exact"/>
              <w:ind w:left="0" w:right="260" w:firstLine="0"/>
            </w:pPr>
            <w:r>
              <w:rPr>
                <w:rStyle w:val="CharStyle12"/>
              </w:rPr>
              <w:t>Обоснование решения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Члены комиссии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110689559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Кузнецова Анастасия Павловна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30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Туманова Елена Сергеевна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30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Сенникова Владлена Олеговна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110693543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Кузнецова Анастасия Павловна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30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Туманова Елена Сергеевна</w:t>
            </w:r>
          </w:p>
        </w:tc>
      </w:tr>
      <w:tr>
        <w:trPr>
          <w:trHeight w:val="619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1030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Соответствует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30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2"/>
              </w:rPr>
              <w:t>Сенникова Владлена Олеговна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134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заявителем не учтены следующие положения действующего законодательства.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смыслу п. 3 ч. 7 ст. 54.7 Закона о контрактной системе обоснование решения указывается членами закупочной комиссии в протоколе в случае признания заявки несоответствующей требованиям документации, поскольку в данной норме содержится указание на обязанность членов комиссии по указанию положений Закона о контрактной системе, конкурсной документации, которым не соответствует эта заявка.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случае признания заявки соответствующей требованиям законодательства, требованиям закупочной документации, у конкурсной комиссии отсутствует обязанность по обоснованию такого решения.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Комиссия Свердловского УФАС России признает указанный довод не подлежащим удовлетворению.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6 ч. 12 ст. 54.7 Закона о контрактной системе протокол подведения итогов открытого конкурса в электронной форме должен содержать информацию:</w:t>
      </w:r>
    </w:p>
    <w:p>
      <w:pPr>
        <w:pStyle w:val="Style3"/>
        <w:numPr>
          <w:ilvl w:val="0"/>
          <w:numId w:val="5"/>
        </w:numPr>
        <w:tabs>
          <w:tab w:leader="none" w:pos="102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пояснил на заседании Комиссии представитель заявителя, ему стал не ясен вопрос, относительно того обстоятельства, каким образом закупочная комиссия производителе подсчет баллов при подведении итогов открытого конкурса в электронной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установлено, что в п. 12</w:t>
      </w:r>
      <w:r>
        <w:fldChar w:fldCharType="begin"/>
      </w:r>
      <w:r>
        <w:rPr>
          <w:color w:val="000000"/>
        </w:rPr>
        <w:instrText> HYPERLINK "https://zakupki.gov.ru/epz/order/notice/ok504/view/protocol/protocol-main-info.html?regNumber=0162300000521000046&amp;protocolId=35207943"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Протокола подведения итогов открытого конкурса в электронной форме от</w:t>
      </w:r>
      <w:r>
        <w:fldChar w:fldCharType="end"/>
      </w:r>
    </w:p>
    <w:p>
      <w:pPr>
        <w:pStyle w:val="Style3"/>
        <w:numPr>
          <w:ilvl w:val="0"/>
          <w:numId w:val="11"/>
        </w:numPr>
        <w:tabs>
          <w:tab w:leader="none" w:pos="10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0"/>
      </w:pPr>
      <w:r>
        <w:fldChar w:fldCharType="begin"/>
      </w:r>
      <w:r>
        <w:rPr>
          <w:color w:val="000000"/>
        </w:rPr>
        <w:instrText> HYPERLINK "https://zakupki.gov.ru/epz/order/notice/ok504/view/protocol/protocol-main-info.html?regNumber=0162300000521000046&amp;protocolId=35207943"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№ППИ1 у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казана следующая информация относительно того, какой рейтинг был присвоен членами комиссии каждой из поступивших заявок:</w:t>
      </w:r>
    </w:p>
    <w:tbl>
      <w:tblPr>
        <w:tblOverlap w:val="never"/>
        <w:tblLayout w:type="fixed"/>
        <w:jc w:val="center"/>
      </w:tblPr>
      <w:tblGrid>
        <w:gridCol w:w="2414"/>
        <w:gridCol w:w="1560"/>
        <w:gridCol w:w="1560"/>
        <w:gridCol w:w="1579"/>
        <w:gridCol w:w="1565"/>
        <w:gridCol w:w="1301"/>
      </w:tblGrid>
      <w:tr>
        <w:trPr>
          <w:trHeight w:val="226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22" w:lineRule="exact"/>
              <w:ind w:left="0" w:right="0" w:firstLine="0"/>
            </w:pPr>
            <w:r>
              <w:rPr>
                <w:rStyle w:val="CharStyle12"/>
              </w:rPr>
              <w:t>Сведения об участнике закупки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7" w:lineRule="exact"/>
              <w:ind w:left="0" w:right="0" w:firstLine="0"/>
            </w:pPr>
            <w:r>
              <w:rPr>
                <w:rStyle w:val="CharStyle12"/>
              </w:rPr>
              <w:t>Рейтинг заявки по критерию, установленному п. 1 ч. 1 ст. 32 Закона №44-ФЗ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7" w:lineRule="exact"/>
              <w:ind w:left="0" w:right="0" w:firstLine="0"/>
            </w:pPr>
            <w:r>
              <w:rPr>
                <w:rStyle w:val="CharStyle12"/>
              </w:rPr>
              <w:t>Рейтинг заявки по критерию, установленному п. 2 ч. 1 ст. 32 Закона №44-ФЗ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Рейтинг заявки по критерию, установленному п. 3 ч. 1 ст. 32 Закона №44-ФЗ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Рейтинг заявки по критерию, установленному п. 4 ч. 1 ст. 32 Закона №44-ФЗ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line="190" w:lineRule="exact"/>
              <w:ind w:left="0" w:right="0" w:firstLine="0"/>
            </w:pPr>
            <w:r>
              <w:rPr>
                <w:rStyle w:val="CharStyle12"/>
              </w:rPr>
              <w:t>Итоговая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300" w:after="0" w:line="190" w:lineRule="exact"/>
              <w:ind w:left="0" w:right="0" w:firstLine="0"/>
            </w:pPr>
            <w:r>
              <w:rPr>
                <w:rStyle w:val="CharStyle12"/>
              </w:rPr>
              <w:t>оценка</w:t>
            </w:r>
          </w:p>
        </w:tc>
      </w:tr>
      <w:tr>
        <w:trPr>
          <w:trHeight w:val="255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АКЦИОНЕРНОЕ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ОБЩЕСТВО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«ТЮМЕНСКИЙ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ПРОЕКТНО</w:t>
              <w:softHyphen/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ИЗЫСКАТЕЛЬСКИЙ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ИНСТИТУТ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2"/>
              </w:rPr>
              <w:t>ВОДНОГО</w:t>
            </w:r>
          </w:p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2"/>
              </w:rPr>
              <w:t>ХОЗЯЙСТВА»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60,00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7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7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40,00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100,00</w:t>
            </w:r>
          </w:p>
        </w:tc>
      </w:tr>
      <w:tr>
        <w:trPr>
          <w:trHeight w:val="284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312" w:lineRule="exact"/>
              <w:ind w:left="0" w:right="0" w:firstLine="0"/>
            </w:pPr>
            <w:r>
              <w:rPr>
                <w:rStyle w:val="CharStyle12"/>
              </w:rPr>
              <w:t>ОБЩЕСТВО С ОГРАНИЧЕННОЙ ОТВЕТСТВЕННОСТЬЮ «НАУЧНО</w:t>
              <w:softHyphen/>
              <w:t>ИССЛЕДОВАТЕЛЬСКИЙ ПРОЕКТНЫЙ ИНСТИТУТ «ПРОМЫШЛЕННОЕ И ГРАЖДАНСКОЕ СТРОИТЕЛЬСТВО»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57,33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97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979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0,00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9979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2"/>
              </w:rPr>
              <w:t>57,33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199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6. ст.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настоящего Федерального закона критериями оценки этих заявок, окончательных предложений, т.е. качественные, функциональные и экологические характеристики объекта закупки, а также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12 ст.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критериями, установленными</w:t>
      </w:r>
      <w:r>
        <w:fldChar w:fldCharType="begin"/>
      </w:r>
      <w:r>
        <w:rPr>
          <w:color w:val="000000"/>
        </w:rPr>
        <w:instrText> HYPERLINK "http://www.consultant.ru/document/cons_doc_LAW_342380/ea8c17c4464ffb60a181b8f4e8c2597cd4b70685/%23dst100365"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пунктами 3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fldChar w:fldCharType="begin"/>
      </w:r>
      <w:r>
        <w:rPr>
          <w:color w:val="000000"/>
        </w:rPr>
        <w:instrText> HYPERLINK "http://www.consultant.ru/document/cons_doc_LAW_342380/ea8c17c4464ffb60a181b8f4e8c2597cd4b70685/%23dst100366"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4 части 1 статьи 32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 Такие результаты могут быть обжалованы участниками закупок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п. 3 Правил оценки заявок, окончательных предложений участников закупки товаров, работ, услуг для обеспечения государственных и муниципальных нужд, утвержденных Постановлением Правительства РФ от 28.11.2013 г. № 1085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результат оценки заявок достигается путем проведения процесса оценки заявок участников закупки, включающего применение порядка оценки заявок, установленного в документации конкурса с ограниченным участием в электронной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Комиссия приходит к выводу, что оценка Комиссией действий конкурсной комиссии в части применения (неприменения) порядка оценки заявок, установленного в документации конкурса с ограниченным участием в электронной форме, не может быть осуществлена безотносительно проверки результата оценки заявок участников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согласно ч. 6. ст. 106 Закона о контрактной системе у Комиссии отсутствуют полномочия по рассмотрению жалобы на результат оценки заявок.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у Комиссии отсутствуют полномочия по проверке результата оценки заявок участников закупки в рамках проведения внеплановой проверки, так как согласно ч. 12 ст.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критериями, установленными пунктами 3 и 4 части 1 статьи 32 настоящего Федерального закона. Такие результаты могут быть обжалованы участниками закупок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Свердловского УФАС России не обладает полномочиями по контролю результатов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Комиссия поясняет относительно указанного довода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Критерии оценки заявок на участие в конкурсе, величины значимости этих критериев, порядок рассмотрения и оценки заявок на участие в конкурсе установлены в конкурсной документации и размещены в виде приложения к Части 1 Информационной карты.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1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указанным критериям при рассмотрении опыта участника, заказчиком будет оцениваться количество заключенных и успешно исполненных контрактов (договоров)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нужд», Федеральным законом от 05.04.2013 №44-ФЗ «О контрактной системе в сфере закупок товаров, работ, услуг для обеспечения государственных и муниципальных нужд», Федеральным законом от 18.07.2011 №223- ФЗ «О закупках товаров, работ, услуг отдельными видами юридических лиц» по выполнению проектно</w:t>
        <w:softHyphen/>
        <w:t>изыскательских работ на строительство, реконструкцию объектов водоснабжения, в том числе водоподготовки, получивших положительные заключения государственной экспертизы.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Баллы присваиваются только за документально подтвержденное наличие опыта участника по успешному оказанию услуг сопоставимого характера, указанных выше.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Членами комиссии будут оцениваться только те заключенные и исполненные контракты на оказание услуг/выполнение работ сопоставимого характера и объема, которые соответствуют всем следующим признакам одновременно: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государственный и (или) муниципальный контракт исполнен на дату окончания подачи заявок;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состав и объем выполненных сопоставим с составом и объемом работ, изложенным в описании объекта закупки (Часть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II.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закупки);</w:t>
      </w:r>
    </w:p>
    <w:p>
      <w:pPr>
        <w:pStyle w:val="Style3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итогом исполнения государственного и (или) муниципального контракта является положительное заключение государственной экспертизы на проектно-сметную документацию.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6 ст.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Оценка указанных заявок не осуществляется в случае признания открытого конкурса в электронной форме не состоявшимся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9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Ввиду того, что критерии и порядок рассмотрения и оценки заявок на участие в конкурсе установлены в конкурсной документации, а закупочная комиссия руководствуется положениями такой документации, обоснование подсчета баллов напрямую взаимосвязано с проведением утвержденной заказчиком в документации процедуры присвоения рейтинга заявкам.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вышеизложенным, Комиссия Свердловского УФАС России находит данный довод заявителя несостоятельным.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ч. 1 ст. 46 Закона о контрактной системе проведение переговоров заказчиком, членами комиссий по осуществлению закупок с участником закупки в отношении заявок на участие в определении поставщика (подрядчика, исполнителя), окончательных предложений, в том числе в отношении заявки, окончательного предложения, поданных таким участником, не допускается до выявления победителя указанного определения, за исключением случаев, предусмотренных настоящим Федеральным законом.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четвертому доводу, заявитель считает, что заказчиком была нарушена вышеуказанная норма, поскольку в адрес общества ООО «НИПИ ПГС» от заказчика поступил звонок, касающийся ускорения подачи заявки данным юридическим лицом на участие в настоящей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на заседании Комиссии пояснил, что информацией о таком телефонном разговоре не обладает.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105 Закона о контрактной системе к жалобе прикладываются документы, подтверждающие ее обоснованность.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заявитель должен раскрыть те доказательства, на которые он ссылается в качестве обоснования своих требований, чего ООО «НИПИ ПГС» в своей жалобе сделано не было.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Указание же в жалобе заявителем лишь на то, что между общество и заказчиком был телефонный разговор еще не свидетельствует о доказанности тех фактов, на которые ссылается податель в п. 4 своей жалобы. Более того, указанное обстоятельство не свидетельствует о нарушении прав и законных интересов подателя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этом основании Комиссия Свердловское УФАС России не признает данный довод 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8"/>
        <w:widowControl w:val="0"/>
        <w:keepNext/>
        <w:keepLines/>
        <w:shd w:val="clear" w:color="auto" w:fill="auto"/>
        <w:bidi w:val="0"/>
        <w:jc w:val="center"/>
        <w:spacing w:before="0" w:after="157" w:line="190" w:lineRule="exact"/>
        <w:ind w:left="2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3"/>
        <w:numPr>
          <w:ilvl w:val="0"/>
          <w:numId w:val="15"/>
        </w:numPr>
        <w:tabs>
          <w:tab w:leader="none" w:pos="1345" w:val="left"/>
          <w:tab w:leader="none" w:pos="7418" w:val="left"/>
          <w:tab w:leader="none" w:pos="10281" w:val="right"/>
          <w:tab w:leader="none" w:pos="102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«Научно-исследовательский проектный институт</w:t>
        <w:tab/>
        <w:t>«Промышленное</w:t>
        <w:tab/>
        <w:t>и</w:t>
        <w:tab/>
        <w:t>гражданское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строительство» признать необоснованной.</w:t>
      </w:r>
    </w:p>
    <w:p>
      <w:pPr>
        <w:pStyle w:val="Style3"/>
        <w:numPr>
          <w:ilvl w:val="0"/>
          <w:numId w:val="15"/>
        </w:numPr>
        <w:tabs>
          <w:tab w:leader="none" w:pos="134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20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Администрации городского округа Сухой Лог, его комиссии нарушений Закона о контактной системе не выявлено.</w:t>
      </w:r>
    </w:p>
    <w:p>
      <w:pPr>
        <w:pStyle w:val="Style3"/>
        <w:numPr>
          <w:ilvl w:val="0"/>
          <w:numId w:val="15"/>
        </w:numPr>
        <w:tabs>
          <w:tab w:leader="none" w:pos="1345" w:val="left"/>
          <w:tab w:leader="none" w:pos="7486" w:val="left"/>
          <w:tab w:leader="none" w:pos="9122" w:val="right"/>
          <w:tab w:leader="none" w:pos="1028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5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его комиссии предписание об устранении нарушений</w:t>
        <w:tab/>
        <w:t>законодательства</w:t>
        <w:tab/>
        <w:t>о</w:t>
        <w:tab/>
        <w:t>контрактной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1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системе не выдавать.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92" w:line="190" w:lineRule="exact"/>
        <w:ind w:left="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type w:val="continuous"/>
      <w:pgSz w:w="11906" w:h="16838"/>
      <w:pgMar w:top="1345" w:left="685" w:right="661" w:bottom="8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5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2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021"/>
      <w:numFmt w:val="decimal"/>
      <w:lvlText w:val="21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"/>
    </w:rPr>
  </w:style>
  <w:style w:type="character" w:customStyle="1" w:styleId="CharStyle7">
    <w:name w:val="Основной текст (2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Заголовок №1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Подпись к таблице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Подпись к таблице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300" w:line="178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outlineLvl w:val="0"/>
      <w:spacing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Подпись к таблице"/>
    <w:basedOn w:val="Normal"/>
    <w:link w:val="CharStyle14"/>
    <w:pPr>
      <w:widowControl w:val="0"/>
      <w:shd w:val="clear" w:color="auto" w:fill="FFFFFF"/>
      <w:spacing w:line="235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