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02"/>
        <w:ind w:left="0" w:right="0" w:firstLine="0"/>
      </w:pPr>
      <w:r>
        <w:rPr>
          <w:rStyle w:val="CharStyle5"/>
          <w:b w:val="0"/>
          <w:bCs w:val="0"/>
        </w:rPr>
        <w:t xml:space="preserve">ФЕДЕРАЛЬНАЯ </w:t>
      </w:r>
      <w:r>
        <w:rPr>
          <w:lang w:val="ru-RU" w:eastAsia="ru-RU" w:bidi="ru-RU"/>
          <w:w w:val="100"/>
          <w:spacing w:val="0"/>
          <w:color w:val="000000"/>
          <w:position w:val="0"/>
        </w:rPr>
        <w:t>АНТИМОНОПОЛЬНАЯ СЛУЖБА</w:t>
      </w:r>
    </w:p>
    <w:p>
      <w:pPr>
        <w:pStyle w:val="Style6"/>
        <w:widowControl w:val="0"/>
        <w:keepNext w:val="0"/>
        <w:keepLines w:val="0"/>
        <w:shd w:val="clear" w:color="auto" w:fill="auto"/>
        <w:bidi w:val="0"/>
        <w:spacing w:before="0" w:after="0" w:line="240" w:lineRule="exact"/>
        <w:ind w:left="0" w:right="0" w:firstLine="0"/>
      </w:pPr>
      <w:r>
        <w:rPr>
          <w:lang w:val="ru-RU" w:eastAsia="ru-RU" w:bidi="ru-RU"/>
          <w:sz w:val="24"/>
          <w:szCs w:val="24"/>
          <w:w w:val="100"/>
          <w:spacing w:val="0"/>
          <w:color w:val="000000"/>
          <w:position w:val="0"/>
        </w:rPr>
        <w:t>УПРАВЛЕНИЕ</w:t>
      </w:r>
    </w:p>
    <w:p>
      <w:pPr>
        <w:pStyle w:val="Style8"/>
        <w:widowControl w:val="0"/>
        <w:keepNext w:val="0"/>
        <w:keepLines w:val="0"/>
        <w:shd w:val="clear" w:color="auto" w:fill="auto"/>
        <w:bidi w:val="0"/>
        <w:spacing w:before="0" w:after="91"/>
        <w:ind w:left="0" w:right="0" w:firstLine="0"/>
      </w:pPr>
      <w:r>
        <w:rPr>
          <w:lang w:val="ru-RU" w:eastAsia="ru-RU" w:bidi="ru-RU"/>
          <w:w w:val="100"/>
          <w:color w:val="000000"/>
          <w:position w:val="0"/>
        </w:rPr>
        <w:t xml:space="preserve">Федеральной антимонопольной </w:t>
      </w:r>
      <w:r>
        <w:rPr>
          <w:rStyle w:val="CharStyle10"/>
        </w:rPr>
        <w:t xml:space="preserve">службы </w:t>
      </w:r>
      <w:r>
        <w:rPr>
          <w:lang w:val="ru-RU" w:eastAsia="ru-RU" w:bidi="ru-RU"/>
          <w:w w:val="100"/>
          <w:color w:val="000000"/>
          <w:position w:val="0"/>
        </w:rPr>
        <w:t>но Амурской области</w:t>
      </w:r>
    </w:p>
    <w:p>
      <w:pPr>
        <w:pStyle w:val="Style11"/>
        <w:widowControl w:val="0"/>
        <w:keepNext w:val="0"/>
        <w:keepLines w:val="0"/>
        <w:shd w:val="clear" w:color="auto" w:fill="auto"/>
        <w:bidi w:val="0"/>
        <w:spacing w:before="0" w:after="0"/>
        <w:ind w:left="0" w:right="0" w:firstLine="0"/>
      </w:pPr>
      <w:r>
        <w:rPr>
          <w:lang w:val="ru-RU" w:eastAsia="ru-RU" w:bidi="ru-RU"/>
          <w:w w:val="100"/>
          <w:color w:val="000000"/>
          <w:position w:val="0"/>
        </w:rPr>
        <w:t xml:space="preserve">ул. Аыурск.ч, </w:t>
      </w:r>
      <w:r>
        <w:rPr>
          <w:lang w:val="en-US" w:eastAsia="en-US" w:bidi="en-US"/>
          <w:w w:val="100"/>
          <w:color w:val="000000"/>
          <w:position w:val="0"/>
        </w:rPr>
        <w:t xml:space="preserve">i </w:t>
      </w:r>
      <w:r>
        <w:rPr>
          <w:lang w:val="ru-RU" w:eastAsia="ru-RU" w:bidi="ru-RU"/>
          <w:w w:val="100"/>
          <w:color w:val="000000"/>
          <w:position w:val="0"/>
        </w:rPr>
        <w:t>50,Ьллчмсиксск» Амурслпз сАлссгь. 675000 тел. (4162) 52-00-07, ф-</w:t>
      </w:r>
      <w:r>
        <w:rPr>
          <w:lang w:val="ru-RU" w:eastAsia="ru-RU" w:bidi="ru-RU"/>
          <w:vertAlign w:val="subscript"/>
          <w:w w:val="100"/>
          <w:color w:val="000000"/>
          <w:position w:val="0"/>
        </w:rPr>
        <w:t>:</w:t>
      </w:r>
      <w:r>
        <w:rPr>
          <w:lang w:val="ru-RU" w:eastAsia="ru-RU" w:bidi="ru-RU"/>
          <w:w w:val="100"/>
          <w:color w:val="000000"/>
          <w:position w:val="0"/>
        </w:rPr>
        <w:t xml:space="preserve">..с (4162) 52-СА-35 </w:t>
      </w:r>
      <w:r>
        <w:rPr>
          <w:rStyle w:val="CharStyle13"/>
        </w:rPr>
        <w:t xml:space="preserve">Е-;г. с:!: </w:t>
      </w:r>
      <w:r>
        <w:rPr>
          <w:rStyle w:val="CharStyle13"/>
          <w:lang w:val="en-US" w:eastAsia="en-US" w:bidi="en-US"/>
        </w:rPr>
        <w:t xml:space="preserve">to2 s </w:t>
      </w:r>
      <w:r>
        <w:rPr>
          <w:rStyle w:val="CharStyle13"/>
        </w:rPr>
        <w:t>У у</w:t>
      </w:r>
      <w:r>
        <w:rPr>
          <w:rStyle w:val="CharStyle13"/>
          <w:vertAlign w:val="superscript"/>
        </w:rPr>
        <w:t>5</w:t>
      </w:r>
      <w:r>
        <w:rPr>
          <w:rStyle w:val="CharStyle13"/>
        </w:rPr>
        <w:t xml:space="preserve">. </w:t>
      </w:r>
      <w:r>
        <w:rPr>
          <w:rStyle w:val="CharStyle13"/>
          <w:lang w:val="en-US" w:eastAsia="en-US" w:bidi="en-US"/>
        </w:rPr>
        <w:t xml:space="preserve">s </w:t>
      </w:r>
      <w:r>
        <w:rPr>
          <w:rStyle w:val="CharStyle13"/>
        </w:rPr>
        <w:t>о е, г и</w:t>
      </w:r>
    </w:p>
    <w:p>
      <w:pPr>
        <w:pStyle w:val="Style14"/>
        <w:widowControl w:val="0"/>
        <w:keepNext/>
        <w:keepLines/>
        <w:shd w:val="clear" w:color="auto" w:fill="auto"/>
        <w:bidi w:val="0"/>
        <w:jc w:val="left"/>
        <w:spacing w:before="0" w:after="0" w:line="340" w:lineRule="exact"/>
        <w:ind w:left="320" w:right="0" w:firstLine="0"/>
      </w:pPr>
      <w:bookmarkStart w:id="0" w:name="bookmark0"/>
      <w:r>
        <w:rPr>
          <w:lang w:val="ru-RU" w:eastAsia="ru-RU" w:bidi="ru-RU"/>
          <w:color w:val="000000"/>
          <w:position w:val="0"/>
        </w:rPr>
        <w:t>11</w:t>
      </w:r>
      <w:r>
        <w:rPr>
          <w:rStyle w:val="CharStyle16"/>
        </w:rPr>
        <w:t xml:space="preserve"> </w:t>
      </w:r>
      <w:r>
        <w:rPr>
          <w:lang w:val="ru-RU" w:eastAsia="ru-RU" w:bidi="ru-RU"/>
          <w:color w:val="000000"/>
          <w:position w:val="0"/>
        </w:rPr>
        <w:t>1</w:t>
      </w:r>
      <w:r>
        <w:rPr>
          <w:rStyle w:val="CharStyle16"/>
        </w:rPr>
        <w:t xml:space="preserve"> </w:t>
      </w:r>
      <w:r>
        <w:rPr>
          <w:lang w:val="ru-RU" w:eastAsia="ru-RU" w:bidi="ru-RU"/>
          <w:color w:val="000000"/>
          <w:position w:val="0"/>
        </w:rPr>
        <w:t>1.2021</w:t>
      </w:r>
      <w:bookmarkEnd w:id="0"/>
    </w:p>
    <w:p>
      <w:pPr>
        <w:pStyle w:val="Style17"/>
        <w:widowControl w:val="0"/>
        <w:keepNext w:val="0"/>
        <w:keepLines w:val="0"/>
        <w:shd w:val="clear" w:color="auto" w:fill="auto"/>
        <w:bidi w:val="0"/>
        <w:spacing w:before="0" w:after="31" w:line="200" w:lineRule="exact"/>
        <w:ind w:left="0" w:right="0" w:firstLine="0"/>
      </w:pPr>
      <w:r>
        <w:rPr>
          <w:lang w:val="ru-RU" w:eastAsia="ru-RU" w:bidi="ru-RU"/>
          <w:w w:val="100"/>
          <w:spacing w:val="0"/>
          <w:color w:val="000000"/>
          <w:position w:val="0"/>
        </w:rPr>
        <w:t>(У</w:t>
      </w:r>
    </w:p>
    <w:p>
      <w:pPr>
        <w:pStyle w:val="Style11"/>
        <w:widowControl w:val="0"/>
        <w:keepNext w:val="0"/>
        <w:keepLines w:val="0"/>
        <w:shd w:val="clear" w:color="auto" w:fill="auto"/>
        <w:bidi w:val="0"/>
        <w:jc w:val="left"/>
        <w:spacing w:before="0" w:after="0" w:line="160" w:lineRule="exact"/>
        <w:ind w:left="20" w:right="0" w:firstLine="0"/>
      </w:pPr>
      <w:r>
        <w:rPr>
          <w:rStyle w:val="CharStyle13"/>
        </w:rPr>
        <w:t>На №</w:t>
      </w:r>
    </w:p>
    <w:p>
      <w:pPr>
        <w:pStyle w:val="Style1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Г осударственному заказчику:</w:t>
      </w:r>
    </w:p>
    <w:p>
      <w:pPr>
        <w:pStyle w:val="Style6"/>
        <w:widowControl w:val="0"/>
        <w:keepNext w:val="0"/>
        <w:keepLines w:val="0"/>
        <w:shd w:val="clear" w:color="auto" w:fill="auto"/>
        <w:bidi w:val="0"/>
        <w:jc w:val="left"/>
        <w:spacing w:before="0" w:after="229" w:line="293" w:lineRule="exact"/>
        <w:ind w:left="20" w:right="0" w:firstLine="0"/>
      </w:pPr>
      <w:r>
        <w:rPr>
          <w:lang w:val="ru-RU" w:eastAsia="ru-RU" w:bidi="ru-RU"/>
          <w:sz w:val="24"/>
          <w:szCs w:val="24"/>
          <w:w w:val="100"/>
          <w:spacing w:val="0"/>
          <w:color w:val="000000"/>
          <w:position w:val="0"/>
        </w:rPr>
        <w:t>Территориальному фонду обязательного медицинского страхования Амурской области</w:t>
      </w:r>
    </w:p>
    <w:p>
      <w:pPr>
        <w:pStyle w:val="Style6"/>
        <w:widowControl w:val="0"/>
        <w:keepNext w:val="0"/>
        <w:keepLines w:val="0"/>
        <w:shd w:val="clear" w:color="auto" w:fill="auto"/>
        <w:bidi w:val="0"/>
        <w:jc w:val="left"/>
        <w:spacing w:before="0" w:after="594" w:line="307" w:lineRule="exact"/>
        <w:ind w:left="20" w:right="0" w:firstLine="0"/>
      </w:pPr>
      <w:r>
        <w:rPr>
          <w:lang w:val="ru-RU" w:eastAsia="ru-RU" w:bidi="ru-RU"/>
          <w:sz w:val="24"/>
          <w:szCs w:val="24"/>
          <w:w w:val="100"/>
          <w:spacing w:val="0"/>
          <w:color w:val="000000"/>
          <w:position w:val="0"/>
        </w:rPr>
        <w:t xml:space="preserve">Воронкова, 26/2, 5 этаж Благовещенск, 675000 </w:t>
      </w:r>
      <w:r>
        <w:rPr>
          <w:lang w:val="en-US" w:eastAsia="en-US" w:bidi="en-US"/>
          <w:sz w:val="24"/>
          <w:szCs w:val="24"/>
          <w:w w:val="100"/>
          <w:spacing w:val="0"/>
          <w:color w:val="000000"/>
          <w:position w:val="0"/>
        </w:rPr>
        <w:t xml:space="preserve">e-mail: </w:t>
      </w:r>
      <w:r>
        <w:fldChar w:fldCharType="begin"/>
      </w:r>
      <w:r>
        <w:rPr>
          <w:color w:val="000000"/>
        </w:rPr>
        <w:instrText> HYPERLINK "mailto:general@aofoms.tsl.ru" </w:instrText>
      </w:r>
      <w:r>
        <w:fldChar w:fldCharType="separate"/>
      </w:r>
      <w:r>
        <w:rPr>
          <w:rStyle w:val="Hyperlink"/>
          <w:lang w:val="en-US" w:eastAsia="en-US" w:bidi="en-US"/>
          <w:sz w:val="24"/>
          <w:szCs w:val="24"/>
          <w:w w:val="100"/>
          <w:spacing w:val="0"/>
          <w:position w:val="0"/>
        </w:rPr>
        <w:t>general@aofoms.tsl.ru</w:t>
      </w:r>
      <w:r>
        <w:fldChar w:fldCharType="end"/>
      </w:r>
      <w:r>
        <w:rPr>
          <w:lang w:val="en-US" w:eastAsia="en-US" w:bidi="en-US"/>
          <w:sz w:val="24"/>
          <w:szCs w:val="24"/>
          <w:w w:val="100"/>
          <w:spacing w:val="0"/>
          <w:color w:val="000000"/>
          <w:position w:val="0"/>
        </w:rPr>
        <w:t xml:space="preserve"> </w:t>
      </w:r>
      <w:r>
        <w:fldChar w:fldCharType="begin"/>
      </w:r>
      <w:r>
        <w:rPr>
          <w:color w:val="000000"/>
        </w:rPr>
        <w:instrText> HYPERLINK "mailto:viktoria@aofoms.tsl.ru" </w:instrText>
      </w:r>
      <w:r>
        <w:fldChar w:fldCharType="separate"/>
      </w:r>
      <w:r>
        <w:rPr>
          <w:rStyle w:val="Hyperlink"/>
          <w:lang w:val="en-US" w:eastAsia="en-US" w:bidi="en-US"/>
          <w:sz w:val="24"/>
          <w:szCs w:val="24"/>
          <w:w w:val="100"/>
          <w:spacing w:val="0"/>
          <w:position w:val="0"/>
        </w:rPr>
        <w:t>viktoria@aofoms.tsl.ru</w:t>
      </w:r>
      <w:r>
        <w:fldChar w:fldCharType="end"/>
      </w:r>
    </w:p>
    <w:p>
      <w:pPr>
        <w:pStyle w:val="Style19"/>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Заявителю:</w:t>
      </w:r>
    </w:p>
    <w:p>
      <w:pPr>
        <w:pStyle w:val="Style6"/>
        <w:widowControl w:val="0"/>
        <w:keepNext w:val="0"/>
        <w:keepLines w:val="0"/>
        <w:shd w:val="clear" w:color="auto" w:fill="auto"/>
        <w:bidi w:val="0"/>
        <w:jc w:val="left"/>
        <w:spacing w:before="0" w:after="236" w:line="293" w:lineRule="exact"/>
        <w:ind w:left="20" w:right="0" w:firstLine="0"/>
      </w:pPr>
      <w:r>
        <w:rPr>
          <w:lang w:val="ru-RU" w:eastAsia="ru-RU" w:bidi="ru-RU"/>
          <w:sz w:val="24"/>
          <w:szCs w:val="24"/>
          <w:w w:val="100"/>
          <w:spacing w:val="0"/>
          <w:color w:val="000000"/>
          <w:position w:val="0"/>
        </w:rPr>
        <w:t>Обществу с ограниченной ответственностью «НТЦ «Цеолит»</w:t>
      </w:r>
    </w:p>
    <w:p>
      <w:pPr>
        <w:pStyle w:val="Style6"/>
        <w:widowControl w:val="0"/>
        <w:keepNext w:val="0"/>
        <w:keepLines w:val="0"/>
        <w:shd w:val="clear" w:color="auto" w:fill="auto"/>
        <w:bidi w:val="0"/>
        <w:jc w:val="left"/>
        <w:spacing w:before="0" w:after="0" w:line="298" w:lineRule="exact"/>
        <w:ind w:left="20" w:right="0" w:firstLine="0"/>
        <w:sectPr>
          <w:footnotePr>
            <w:pos w:val="pageBottom"/>
            <w:numFmt w:val="decimal"/>
            <w:numRestart w:val="continuous"/>
          </w:footnotePr>
          <w:type w:val="continuous"/>
          <w:pgSz w:w="11906" w:h="16838"/>
          <w:pgMar w:top="481" w:left="1018" w:right="1301" w:bottom="467" w:header="0" w:footer="3" w:gutter="0"/>
          <w:rtlGutter w:val="0"/>
          <w:cols w:num="2" w:space="523"/>
          <w:noEndnote/>
          <w:docGrid w:linePitch="360"/>
        </w:sectPr>
      </w:pPr>
      <w:r>
        <w:rPr>
          <w:lang w:val="ru-RU" w:eastAsia="ru-RU" w:bidi="ru-RU"/>
          <w:sz w:val="24"/>
          <w:szCs w:val="24"/>
          <w:w w:val="100"/>
          <w:spacing w:val="0"/>
          <w:color w:val="000000"/>
          <w:position w:val="0"/>
        </w:rPr>
        <w:t xml:space="preserve">Тихоокеанская, 73 литер 1Д Волочаевская, 153, оф. 153 Хабаровск, 680000 </w:t>
      </w:r>
      <w:r>
        <w:rPr>
          <w:lang w:val="en-US" w:eastAsia="en-US" w:bidi="en-US"/>
          <w:sz w:val="24"/>
          <w:szCs w:val="24"/>
          <w:w w:val="100"/>
          <w:spacing w:val="0"/>
          <w:color w:val="000000"/>
          <w:position w:val="0"/>
        </w:rPr>
        <w:t xml:space="preserve">e-mail: </w:t>
      </w:r>
      <w:r>
        <w:fldChar w:fldCharType="begin"/>
      </w:r>
      <w:r>
        <w:rPr>
          <w:color w:val="000000"/>
        </w:rPr>
        <w:instrText> HYPERLINK "mailto:zeolit@mail.redcom.ru" </w:instrText>
      </w:r>
      <w:r>
        <w:fldChar w:fldCharType="separate"/>
      </w:r>
      <w:r>
        <w:rPr>
          <w:rStyle w:val="Hyperlink"/>
          <w:lang w:val="en-US" w:eastAsia="en-US" w:bidi="en-US"/>
          <w:sz w:val="24"/>
          <w:szCs w:val="24"/>
          <w:w w:val="100"/>
          <w:spacing w:val="0"/>
          <w:position w:val="0"/>
        </w:rPr>
        <w:t>zeolit@mail.redcom.ru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5" w:after="1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center"/>
        <w:spacing w:before="0" w:after="0" w:line="298" w:lineRule="exact"/>
        <w:ind w:left="0" w:right="0" w:firstLine="0"/>
        <w:sectPr>
          <w:type w:val="continuous"/>
          <w:pgSz w:w="11906" w:h="16838"/>
          <w:pgMar w:top="481" w:left="4455" w:right="3601" w:bottom="467" w:header="0" w:footer="3" w:gutter="0"/>
          <w:rtlGutter w:val="0"/>
          <w:cols w:space="720"/>
          <w:noEndnote/>
          <w:docGrid w:linePitch="360"/>
        </w:sectPr>
      </w:pPr>
      <w:r>
        <w:rPr>
          <w:lang w:val="ru-RU" w:eastAsia="ru-RU" w:bidi="ru-RU"/>
          <w:sz w:val="24"/>
          <w:szCs w:val="24"/>
          <w:w w:val="100"/>
          <w:spacing w:val="0"/>
          <w:color w:val="000000"/>
          <w:position w:val="0"/>
        </w:rPr>
        <w:t>РЕШЕНИЕ по делу № 028/06/105-666/2021</w:t>
      </w:r>
    </w:p>
    <w:p>
      <w:pPr>
        <w:widowControl w:val="0"/>
        <w:spacing w:before="60" w:after="6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framePr w:h="230" w:wrap="around" w:vAnchor="text" w:hAnchor="margin" w:x="6715" w:y="4"/>
        <w:widowControl w:val="0"/>
        <w:keepNext w:val="0"/>
        <w:keepLines w:val="0"/>
        <w:shd w:val="clear" w:color="auto" w:fill="auto"/>
        <w:bidi w:val="0"/>
        <w:jc w:val="left"/>
        <w:spacing w:before="0" w:after="0" w:line="230" w:lineRule="exact"/>
        <w:ind w:left="100" w:right="0" w:firstLine="0"/>
      </w:pPr>
      <w:r>
        <w:rPr>
          <w:rStyle w:val="CharStyle21"/>
          <w:spacing w:val="0"/>
        </w:rPr>
        <w:t>г. Благовещенск</w:t>
      </w:r>
    </w:p>
    <w:p>
      <w:pPr>
        <w:pStyle w:val="Style22"/>
        <w:widowControl w:val="0"/>
        <w:keepNext w:val="0"/>
        <w:keepLines w:val="0"/>
        <w:shd w:val="clear" w:color="auto" w:fill="auto"/>
        <w:bidi w:val="0"/>
        <w:spacing w:before="0" w:after="16" w:line="220" w:lineRule="exact"/>
        <w:ind w:left="0" w:right="20" w:firstLine="0"/>
      </w:pPr>
      <w:r>
        <w:rPr>
          <w:lang w:val="ru-RU" w:eastAsia="ru-RU" w:bidi="ru-RU"/>
          <w:w w:val="100"/>
          <w:color w:val="000000"/>
          <w:position w:val="0"/>
        </w:rPr>
        <w:t>10</w:t>
      </w:r>
      <w:r>
        <w:rPr>
          <w:rStyle w:val="CharStyle24"/>
        </w:rPr>
        <w:t>.</w:t>
      </w:r>
      <w:r>
        <w:rPr>
          <w:lang w:val="ru-RU" w:eastAsia="ru-RU" w:bidi="ru-RU"/>
          <w:w w:val="100"/>
          <w:color w:val="000000"/>
          <w:position w:val="0"/>
        </w:rPr>
        <w:t>11.2021</w:t>
      </w:r>
    </w:p>
    <w:p>
      <w:pPr>
        <w:pStyle w:val="Style6"/>
        <w:widowControl w:val="0"/>
        <w:keepNext w:val="0"/>
        <w:keepLines w:val="0"/>
        <w:shd w:val="clear" w:color="auto" w:fill="auto"/>
        <w:bidi w:val="0"/>
        <w:jc w:val="right"/>
        <w:spacing w:before="0" w:after="256" w:line="240" w:lineRule="exact"/>
        <w:ind w:left="0" w:right="20" w:firstLine="0"/>
      </w:pPr>
      <w:r>
        <w:rPr>
          <w:lang w:val="ru-RU" w:eastAsia="ru-RU" w:bidi="ru-RU"/>
          <w:sz w:val="24"/>
          <w:szCs w:val="24"/>
          <w:w w:val="100"/>
          <w:spacing w:val="0"/>
          <w:color w:val="000000"/>
          <w:position w:val="0"/>
        </w:rPr>
        <w:t>(в полном объеме изготовлено 15.11.2021)</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управления Федеральной антимонопольной службы по Амурской области (далее - Амурское У ФАС России) по контролю в сфере закупок в составе: Горячевой Н.В. - заместителя руководителя управления, председателя Комиссии; Стрелковой Е.В. - главного специалиста-эксперта отдела контроля закупок; Лесковой Ю.П. - ведущего специалиста-эксперта отдела контроля закупок; Левченко И.И. - специалиста-эксперта отдела контроля закупок,</w:t>
      </w:r>
    </w:p>
    <w:p>
      <w:pPr>
        <w:pStyle w:val="Style6"/>
        <w:tabs>
          <w:tab w:leader="none" w:pos="4988" w:val="center"/>
          <w:tab w:leader="none" w:pos="5919" w:val="center"/>
          <w:tab w:leader="none" w:pos="6778" w:val="center"/>
          <w:tab w:leader="none" w:pos="8482" w:val="right"/>
          <w:tab w:leader="none" w:pos="9351" w:val="right"/>
        </w:tabs>
        <w:widowControl w:val="0"/>
        <w:keepNext w:val="0"/>
        <w:keepLines w:val="0"/>
        <w:shd w:val="clear" w:color="auto" w:fill="auto"/>
        <w:bidi w:val="0"/>
        <w:jc w:val="both"/>
        <w:spacing w:before="0" w:after="0" w:line="298" w:lineRule="exact"/>
        <w:ind w:left="20" w:right="0" w:firstLine="720"/>
      </w:pPr>
      <w:r>
        <w:rPr>
          <w:lang w:val="ru-RU" w:eastAsia="ru-RU" w:bidi="ru-RU"/>
          <w:sz w:val="24"/>
          <w:szCs w:val="24"/>
          <w:w w:val="100"/>
          <w:spacing w:val="0"/>
          <w:color w:val="000000"/>
          <w:position w:val="0"/>
        </w:rPr>
        <w:t>в присутствии представителей:</w:t>
        <w:tab/>
        <w:t>от</w:t>
        <w:tab/>
        <w:t>заказчика</w:t>
        <w:tab/>
        <w:t>-</w:t>
        <w:tab/>
        <w:t>Дмитриевой</w:t>
        <w:tab/>
        <w:t>М.Н.,</w:t>
      </w:r>
    </w:p>
    <w:p>
      <w:pPr>
        <w:pStyle w:val="Style6"/>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действующей по доверенности от 18.01.2021 № 01-06-67, Гусейновой В .А., действующей по доверенности от 28.10.2021 № 01-06-2508,</w:t>
      </w:r>
    </w:p>
    <w:p>
      <w:pPr>
        <w:pStyle w:val="Style6"/>
        <w:widowControl w:val="0"/>
        <w:keepNext w:val="0"/>
        <w:keepLines w:val="0"/>
        <w:shd w:val="clear" w:color="auto" w:fill="auto"/>
        <w:bidi w:val="0"/>
        <w:jc w:val="right"/>
        <w:spacing w:before="0" w:after="0" w:line="298" w:lineRule="exact"/>
        <w:ind w:left="0" w:right="20" w:firstLine="0"/>
      </w:pPr>
      <w:r>
        <w:rPr>
          <w:lang w:val="ru-RU" w:eastAsia="ru-RU" w:bidi="ru-RU"/>
          <w:sz w:val="24"/>
          <w:szCs w:val="24"/>
          <w:w w:val="100"/>
          <w:spacing w:val="0"/>
          <w:color w:val="000000"/>
          <w:position w:val="0"/>
        </w:rPr>
        <w:t>от заявителя жалобы - Малковой Е.Г., действующей по доверенности от</w:t>
      </w:r>
    </w:p>
    <w:p>
      <w:pPr>
        <w:pStyle w:val="Style6"/>
        <w:numPr>
          <w:ilvl w:val="0"/>
          <w:numId w:val="1"/>
        </w:numPr>
        <w:tabs>
          <w:tab w:leader="none" w:pos="1332" w:val="left"/>
        </w:tabs>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№35</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(лицам, присутствующим на заседании комиссии, разъяснены права, порядок рассмотрения дела, сообщено о ведении аудио- и видеозаписи заседания Комиссии Амурского У ФАС России),</w:t>
      </w:r>
    </w:p>
    <w:p>
      <w:pPr>
        <w:pStyle w:val="Style6"/>
        <w:widowControl w:val="0"/>
        <w:keepNext w:val="0"/>
        <w:keepLines w:val="0"/>
        <w:shd w:val="clear" w:color="auto" w:fill="auto"/>
        <w:bidi w:val="0"/>
        <w:jc w:val="both"/>
        <w:spacing w:before="0" w:after="586" w:line="298" w:lineRule="exact"/>
        <w:ind w:left="20" w:right="20" w:firstLine="720"/>
      </w:pPr>
      <w:r>
        <w:rPr>
          <w:lang w:val="ru-RU" w:eastAsia="ru-RU" w:bidi="ru-RU"/>
          <w:sz w:val="24"/>
          <w:szCs w:val="24"/>
          <w:w w:val="100"/>
          <w:spacing w:val="0"/>
          <w:color w:val="000000"/>
          <w:position w:val="0"/>
        </w:rPr>
        <w:t xml:space="preserve">в связи с угрозой распространения на территории Российской Федерации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в соответствии со статьей 14 Федерального закона от 21 декабря 1994 г. № 68-ФЗ «О защите населения и территорий от чрезвычайных ситуаций природного и техногенного характера», а</w:t>
      </w:r>
    </w:p>
    <w:p>
      <w:pPr>
        <w:pStyle w:val="Style19"/>
        <w:widowControl w:val="0"/>
        <w:keepNext w:val="0"/>
        <w:keepLines w:val="0"/>
        <w:shd w:val="clear" w:color="auto" w:fill="auto"/>
        <w:bidi w:val="0"/>
        <w:jc w:val="right"/>
        <w:spacing w:before="0" w:after="0" w:line="240" w:lineRule="exact"/>
        <w:ind w:left="0" w:right="140" w:firstLine="0"/>
      </w:pPr>
      <w:r>
        <w:rPr>
          <w:lang w:val="ru-RU" w:eastAsia="ru-RU" w:bidi="ru-RU"/>
          <w:sz w:val="24"/>
          <w:szCs w:val="24"/>
          <w:w w:val="100"/>
          <w:spacing w:val="0"/>
          <w:color w:val="000000"/>
          <w:position w:val="0"/>
        </w:rPr>
        <w:t>088380</w:t>
      </w:r>
      <w:r>
        <w:br w:type="page"/>
      </w:r>
    </w:p>
    <w:p>
      <w:pPr>
        <w:pStyle w:val="Style6"/>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также в целях обеспечения соблюдения положений Федерального закона от 30 марта 1999 г. № 52-ФЗ «О санитарно-эпидемиологическом благополучии населения», постановлений Главного государственного санитарного врача Российской Федерации от 24 января 2020 г. № 2 «О дополнительных мероприятиях по недопущению завоза и распространения новой коронавирусной инфекции, вызванной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от 2 марта 2020 г. № 5 «О дополнительных мерах по снижению рисков завоза и распространения новой коронавирусной инфекции </w:t>
      </w:r>
      <w:r>
        <w:rPr>
          <w:lang w:val="en-US" w:eastAsia="en-US" w:bidi="en-US"/>
          <w:sz w:val="24"/>
          <w:szCs w:val="24"/>
          <w:w w:val="100"/>
          <w:spacing w:val="0"/>
          <w:color w:val="000000"/>
          <w:position w:val="0"/>
        </w:rPr>
        <w:t xml:space="preserve">(2019-nCoV)» </w:t>
      </w:r>
      <w:r>
        <w:rPr>
          <w:lang w:val="ru-RU" w:eastAsia="ru-RU" w:bidi="ru-RU"/>
          <w:sz w:val="24"/>
          <w:szCs w:val="24"/>
          <w:w w:val="100"/>
          <w:spacing w:val="0"/>
          <w:color w:val="000000"/>
          <w:position w:val="0"/>
        </w:rPr>
        <w:t xml:space="preserve">заседание Комиссии Амурского У ФАС России осуществлено в дистанционном режиме, без очного участия представителей заинтересованных сторон, посредством плагина </w:t>
      </w:r>
      <w:r>
        <w:rPr>
          <w:lang w:val="en-US" w:eastAsia="en-US" w:bidi="en-US"/>
          <w:sz w:val="24"/>
          <w:szCs w:val="24"/>
          <w:w w:val="100"/>
          <w:spacing w:val="0"/>
          <w:color w:val="000000"/>
          <w:position w:val="0"/>
        </w:rPr>
        <w:t xml:space="preserve">«TrueConf» </w:t>
      </w:r>
      <w:r>
        <w:rPr>
          <w:lang w:val="ru-RU" w:eastAsia="ru-RU" w:bidi="ru-RU"/>
          <w:sz w:val="24"/>
          <w:szCs w:val="24"/>
          <w:w w:val="100"/>
          <w:spacing w:val="0"/>
          <w:color w:val="000000"/>
          <w:position w:val="0"/>
        </w:rPr>
        <w:t>в режиме видеоконференцсвязи,</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рассмотрела поступившую 27 октября 2021 года в Амурское У ФАС России жалобу от общества с ограниченной ответственностью «НТЦ «Цеолит» (далее - ООО «НТЦ «Цеолит») на действия аукционной комиссии заказчика - Территориального фонда обязательного медицинского страхования Амурской области (далее - ТФОМС Амурской области) при осуществлении закупки в форме электронного аукциона на закупку рулонных жалюзи, объявленной извещением от</w:t>
      </w:r>
    </w:p>
    <w:p>
      <w:pPr>
        <w:pStyle w:val="Style6"/>
        <w:numPr>
          <w:ilvl w:val="0"/>
          <w:numId w:val="3"/>
        </w:numPr>
        <w:tabs>
          <w:tab w:leader="none" w:pos="1618" w:val="left"/>
        </w:tabs>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 0223100002021000007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и на электронной площадке ЗАО «Сбербанк - АСТ» </w:t>
      </w:r>
      <w:r>
        <w:fldChar w:fldCharType="begin"/>
      </w:r>
      <w:r>
        <w:rPr>
          <w:color w:val="000000"/>
        </w:rPr>
        <w:instrText> HYPERLINK "http://www.sberbank-ast.ru" </w:instrText>
      </w:r>
      <w:r>
        <w:fldChar w:fldCharType="separate"/>
      </w:r>
      <w:r>
        <w:rPr>
          <w:rStyle w:val="Hyperlink"/>
          <w:lang w:val="en-US" w:eastAsia="en-US" w:bidi="en-US"/>
          <w:sz w:val="24"/>
          <w:szCs w:val="24"/>
          <w:w w:val="100"/>
          <w:spacing w:val="0"/>
          <w:position w:val="0"/>
        </w:rPr>
        <w:t>www.sberbank-ast.ru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выразившиеся, по мнению заявителей,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Федеральный закон).</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Из жалобы заявителя следует, что аукционная комиссия заказчика неправомерно признала заявку ООО «НТЦ «Цеолит» несоответствующей требованиям документации.</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Представители заказчика поддержали доводы, изложенные в своей письменной позиции, просили признать жалобу необоснованной.</w:t>
      </w:r>
    </w:p>
    <w:p>
      <w:pPr>
        <w:pStyle w:val="Style6"/>
        <w:widowControl w:val="0"/>
        <w:keepNext w:val="0"/>
        <w:keepLines w:val="0"/>
        <w:shd w:val="clear" w:color="auto" w:fill="auto"/>
        <w:bidi w:val="0"/>
        <w:jc w:val="both"/>
        <w:spacing w:before="0" w:after="240" w:line="298" w:lineRule="exact"/>
        <w:ind w:left="20" w:right="20" w:firstLine="700"/>
      </w:pPr>
      <w:r>
        <w:rPr>
          <w:lang w:val="ru-RU" w:eastAsia="ru-RU" w:bidi="ru-RU"/>
          <w:sz w:val="24"/>
          <w:szCs w:val="24"/>
          <w:w w:val="100"/>
          <w:spacing w:val="0"/>
          <w:color w:val="000000"/>
          <w:position w:val="0"/>
        </w:rPr>
        <w:t>Комиссия Амурского У ФАС России, рассмотрев жалобу, исследовав материалы дела, проведя в соответствии с частями 3, 15 статьи 99 Закона о контрактной системе внеплановую проверку,</w:t>
      </w:r>
    </w:p>
    <w:p>
      <w:pPr>
        <w:pStyle w:val="Style6"/>
        <w:widowControl w:val="0"/>
        <w:keepNext w:val="0"/>
        <w:keepLines w:val="0"/>
        <w:shd w:val="clear" w:color="auto" w:fill="auto"/>
        <w:bidi w:val="0"/>
        <w:spacing w:before="0" w:after="0" w:line="298" w:lineRule="exact"/>
        <w:ind w:left="0" w:right="0" w:firstLine="0"/>
      </w:pPr>
      <w:r>
        <w:rPr>
          <w:lang w:val="ru-RU" w:eastAsia="ru-RU" w:bidi="ru-RU"/>
          <w:sz w:val="24"/>
          <w:szCs w:val="24"/>
          <w:w w:val="100"/>
          <w:spacing w:val="0"/>
          <w:color w:val="000000"/>
          <w:position w:val="0"/>
        </w:rPr>
        <w:t>УСТАНОВИЛА:</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Заказчиком - ТФОМС Амурской области на электронной площадке ЗАО «Сбербанк - АСТ» </w:t>
      </w:r>
      <w:r>
        <w:fldChar w:fldCharType="begin"/>
      </w:r>
      <w:r>
        <w:rPr>
          <w:color w:val="000000"/>
        </w:rPr>
        <w:instrText> HYPERLINK "http://www.sberbank-ast.ru" </w:instrText>
      </w:r>
      <w:r>
        <w:fldChar w:fldCharType="separate"/>
      </w:r>
      <w:r>
        <w:rPr>
          <w:rStyle w:val="Hyperlink"/>
          <w:lang w:val="en-US" w:eastAsia="en-US" w:bidi="en-US"/>
          <w:sz w:val="24"/>
          <w:szCs w:val="24"/>
          <w:w w:val="100"/>
          <w:spacing w:val="0"/>
          <w:position w:val="0"/>
        </w:rPr>
        <w:t>www.sberbank-ast.ru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опубликовано извещение от</w:t>
      </w:r>
    </w:p>
    <w:p>
      <w:pPr>
        <w:pStyle w:val="Style6"/>
        <w:numPr>
          <w:ilvl w:val="0"/>
          <w:numId w:val="5"/>
        </w:numPr>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 № 0223100002021000007 о проведении электронного аукциона на закупку рулонных жалюзи.</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Соответствующая информация размещена на официальном сайте Единой информационной системы в сфере закупок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Начальная (максимальная) цена контракта установлена в размере 424 173,33 рублей.</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Дата и время окончания подачи заявок - 19.10.2021 в 15:15, дата проведения аукциона в электронной форме - 21.10.2021.</w:t>
      </w:r>
    </w:p>
    <w:p>
      <w:pPr>
        <w:pStyle w:val="Style6"/>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В соответствии с протоколом подведения итогов электронного аукциона от</w:t>
      </w:r>
    </w:p>
    <w:p>
      <w:pPr>
        <w:pStyle w:val="Style6"/>
        <w:numPr>
          <w:ilvl w:val="0"/>
          <w:numId w:val="7"/>
        </w:numPr>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 xml:space="preserve"> на участие в аукционе поступило 5 заявок, по результатам рассмотрения которых аукционной комиссией Заказчика принято решение о признании трех заявок участников несоответствующими требованиям документации.</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Победителем аукциона признано общество с ограниченной ответственностью «РСК» с ценовым предложением 210 679,53 рублей.</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Комиссия Амурского У ФАС России, исследовав материалы дела, приходит к следующим выводам.</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5 статьи 66 Закона о контрактной системе вторая часть заявки на участие в электронном аукционе должна содержать следующие документы и информацию:</w:t>
      </w:r>
    </w:p>
    <w:p>
      <w:pPr>
        <w:pStyle w:val="Style6"/>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такого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участника такого аукциона;</w:t>
      </w:r>
    </w:p>
    <w:p>
      <w:pPr>
        <w:pStyle w:val="Style6"/>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3 - 9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6"/>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6"/>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6"/>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документы, подтверждающие право участника электронного аукциона на получение преимуществ в соответствии со статьями 28 и 29 настоящего Федерального закона (в случае, если участник электронного аукциона заявил о получении указанных преимуществ), или копии таких документов;</w:t>
      </w:r>
    </w:p>
    <w:p>
      <w:pPr>
        <w:pStyle w:val="Style6"/>
        <w:widowControl w:val="0"/>
        <w:keepNext w:val="0"/>
        <w:keepLines w:val="0"/>
        <w:shd w:val="clear" w:color="auto" w:fill="auto"/>
        <w:bidi w:val="0"/>
        <w:jc w:val="both"/>
        <w:spacing w:before="0" w:after="0" w:line="298" w:lineRule="exact"/>
        <w:ind w:left="20" w:right="20" w:firstLine="1100"/>
      </w:pPr>
      <w:r>
        <w:rPr>
          <w:lang w:val="ru-RU" w:eastAsia="ru-RU" w:bidi="ru-RU"/>
          <w:sz w:val="24"/>
          <w:szCs w:val="24"/>
          <w:w w:val="100"/>
          <w:spacing w:val="0"/>
          <w:color w:val="000000"/>
          <w:position w:val="0"/>
        </w:rPr>
        <w:t>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Аналогичные требования к составу заявки установлены пунктом 3.3.1 части 3.3 раздела I и пунктом 20 информационной карты аукционной документации.</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Частью 1 статьи 14 Закона о контрактной системе установлено, что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пункте 9 постановления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Министерство промышленности и торговли Российской Федерации определено уполномоченным федеральным органом исполнительной власти по формированию и ведению реестра российской промышленной продукции и реестра евразийской промышленной продукции.</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Пунктом 10 Постановления № 616 установлено,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либо в случае закупки товаров, указанных в пунктах 25(1) - 25(7) перечня, представляет декларацию о включении поставляемой продукции в единый реестр российской радиоэлектронной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включается в контракт.</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Условия, запреты и ограничения допуска товаров, происходящих из иностранного государства или групп иностранных государств, работ, услуг, выполняемых, оказываемых иностранными лицами предусмотренные Постановлением № 616, установлены пунктом 48 информационной карты аукционной документации.</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Предмет закупки - рулонные жалюзи с кодом позиции 13.92.22.120 входит в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являющимся приложением Постановления № 616.</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Согласно части 6.1 статьи 66 Закона о контрактной системе в случае установления недостоверности информации, содержащейся в документах, представленных участником электронного аукциона в соответствии с частями 3, 5, 8.2 настоящей статьи, аукционная комиссия обязана отстранить такого участника от участия в электронном аукционе на любом этапе его проведения.</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соответствии с частью 6 статьи 69 Закона о контрактной системе заявка на участие в электронном аукционе признается не соответствующей требованиям, установленным документацией о таком аукционе, в случае:</w:t>
      </w:r>
    </w:p>
    <w:p>
      <w:pPr>
        <w:pStyle w:val="Style6"/>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непредставления документов и информации, которые предусмотрены частью 11 статьи 24.1, частями 3 или 3.1, 5, 8.2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pPr>
        <w:pStyle w:val="Style6"/>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pPr>
        <w:pStyle w:val="Style6"/>
        <w:numPr>
          <w:ilvl w:val="0"/>
          <w:numId w:val="9"/>
        </w:numPr>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 xml:space="preserve"> предусмотренном нормативными правовыми актами, принятыми в соответствии со статьей 14 настоящего Федерального закона.</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ООО «НТЦ «Цеолит» во второй части заявки представлена выписка из реестра российской промышленной продукции от 03.06.2021 № 614/7/2021 на рулонные шторы, в которой указан производитель общество с ограниченной ответственностью «ФИРМА КАЛИТА».</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Заявка ООО «НТЦ «Цеолит» в протоколе подведения итогов электронного аукциона от 26.10.2021 признана несоответствующей положениям документации на основании части 6.1 статьи 66 Закона о контрактной системе в части представления недостоверной информации (выписка из реестра российской продукции на жалюзи представлена на другое юридическое лицо).</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Вместе с тем, в Постановлением № 616 не устанавливается требование об участии в закупках исключительно производителей продукции.</w:t>
      </w:r>
    </w:p>
    <w:p>
      <w:pPr>
        <w:pStyle w:val="Style6"/>
        <w:widowControl w:val="0"/>
        <w:keepNext w:val="0"/>
        <w:keepLines w:val="0"/>
        <w:shd w:val="clear" w:color="auto" w:fill="auto"/>
        <w:bidi w:val="0"/>
        <w:jc w:val="both"/>
        <w:spacing w:before="0" w:after="0" w:line="298" w:lineRule="exact"/>
        <w:ind w:left="20" w:right="20" w:firstLine="720"/>
      </w:pPr>
      <w:r>
        <w:rPr>
          <w:lang w:val="ru-RU" w:eastAsia="ru-RU" w:bidi="ru-RU"/>
          <w:sz w:val="24"/>
          <w:szCs w:val="24"/>
          <w:w w:val="100"/>
          <w:spacing w:val="0"/>
          <w:color w:val="000000"/>
          <w:position w:val="0"/>
        </w:rPr>
        <w:t>В этой связи участником закупки товаров, в отношении которых Постановлением № 616 установлен запрет, может быть как производитель продукции, так и иное лицо, которое планирует поставить продукцию производителя, указанного в выписке.</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При этом определение фактического соответствия товара информации, в том числе указанной в выписке, осуществляется на этапе исполнения контракта в соответствии с положениями Закона о контрактной системе.</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На основании вышеизложенного, Комиссия Амурского У ФАС России приходит к выводу, что аукционная комиссия заказчика в нарушении требований частей 6, 7 статьи 69 Закона о контрактной системе неправомерно признала заявку ООО «НТЦ «Цеолит» несоответствующей требованиям аукционной документации, поскольку общество предоставило в составе заявки выписку из реестра российской продукции в соответствии с требованиям действующего законодательства.</w:t>
      </w:r>
    </w:p>
    <w:p>
      <w:pPr>
        <w:pStyle w:val="Style6"/>
        <w:widowControl w:val="0"/>
        <w:keepNext w:val="0"/>
        <w:keepLines w:val="0"/>
        <w:shd w:val="clear" w:color="auto" w:fill="auto"/>
        <w:bidi w:val="0"/>
        <w:jc w:val="both"/>
        <w:spacing w:before="0" w:after="270" w:line="298" w:lineRule="exact"/>
        <w:ind w:left="20" w:right="20" w:firstLine="700"/>
      </w:pPr>
      <w:r>
        <w:rPr>
          <w:lang w:val="ru-RU" w:eastAsia="ru-RU" w:bidi="ru-RU"/>
          <w:sz w:val="24"/>
          <w:szCs w:val="24"/>
          <w:w w:val="100"/>
          <w:spacing w:val="0"/>
          <w:color w:val="000000"/>
          <w:position w:val="0"/>
        </w:rPr>
        <w:t>Рассмотрев жалобу ООО «НТЦ «Цеолит», руководствуясь пунктом 1 части 3, части 15 статьи 99, части 8 статьи 106 Закона о контрактной системе,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Комиссия Амурского У ФАС России приняла</w:t>
      </w:r>
    </w:p>
    <w:p>
      <w:pPr>
        <w:pStyle w:val="Style25"/>
        <w:widowControl w:val="0"/>
        <w:keepNext w:val="0"/>
        <w:keepLines w:val="0"/>
        <w:shd w:val="clear" w:color="auto" w:fill="auto"/>
        <w:bidi w:val="0"/>
        <w:jc w:val="left"/>
        <w:spacing w:before="0" w:after="0" w:line="260" w:lineRule="exact"/>
        <w:ind w:left="4180" w:right="0" w:firstLine="0"/>
      </w:pPr>
      <w:r>
        <w:rPr>
          <w:lang w:val="ru-RU" w:eastAsia="ru-RU" w:bidi="ru-RU"/>
          <w:w w:val="100"/>
          <w:color w:val="000000"/>
          <w:position w:val="0"/>
        </w:rPr>
        <w:t>РЕШЕНИЕ:</w:t>
      </w:r>
    </w:p>
    <w:p>
      <w:pPr>
        <w:pStyle w:val="Style6"/>
        <w:numPr>
          <w:ilvl w:val="0"/>
          <w:numId w:val="11"/>
        </w:numPr>
        <w:tabs>
          <w:tab w:leader="none" w:pos="2341" w:val="left"/>
        </w:tabs>
        <w:widowControl w:val="0"/>
        <w:keepNext w:val="0"/>
        <w:keepLines w:val="0"/>
        <w:shd w:val="clear" w:color="auto" w:fill="auto"/>
        <w:bidi w:val="0"/>
        <w:jc w:val="both"/>
        <w:spacing w:before="0" w:after="0" w:line="302" w:lineRule="exact"/>
        <w:ind w:left="20" w:right="20" w:firstLine="700"/>
      </w:pPr>
      <w:r>
        <w:rPr>
          <w:lang w:val="ru-RU" w:eastAsia="ru-RU" w:bidi="ru-RU"/>
          <w:sz w:val="24"/>
          <w:szCs w:val="24"/>
          <w:w w:val="100"/>
          <w:spacing w:val="0"/>
          <w:color w:val="000000"/>
          <w:position w:val="0"/>
        </w:rPr>
        <w:t xml:space="preserve"> Признать</w:t>
        <w:tab/>
        <w:t>жалобу общества с ограниченной ответственностью «НТЦ «Цеолит» обоснованной;</w:t>
      </w:r>
    </w:p>
    <w:p>
      <w:pPr>
        <w:pStyle w:val="Style6"/>
        <w:numPr>
          <w:ilvl w:val="0"/>
          <w:numId w:val="11"/>
        </w:numPr>
        <w:tabs>
          <w:tab w:leader="none" w:pos="2341" w:val="left"/>
        </w:tabs>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Признать</w:t>
        <w:tab/>
        <w:t>в действиях аукционной комиссии заказчика - Территориального фонда обязательного медицинского страхования Амурской области нарушение частей 6, 7 статьи 69 Федерального закона от 05.04.2013 № 44- ФЗ «О контрактной системе в сфере закупок товаров, работ, услуг для обеспечения государственных и муниципальных нужд»;</w:t>
      </w:r>
    </w:p>
    <w:p>
      <w:pPr>
        <w:pStyle w:val="Style6"/>
        <w:numPr>
          <w:ilvl w:val="0"/>
          <w:numId w:val="11"/>
        </w:numPr>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 Выдать заказчику и аукционной комиссии заказчика предписание об устранении допущенного нарушения законодательства Российской Федерации о контрактной системе;</w:t>
      </w:r>
    </w:p>
    <w:p>
      <w:pPr>
        <w:pStyle w:val="Style6"/>
        <w:numPr>
          <w:ilvl w:val="0"/>
          <w:numId w:val="11"/>
        </w:numPr>
        <w:widowControl w:val="0"/>
        <w:keepNext w:val="0"/>
        <w:keepLines w:val="0"/>
        <w:shd w:val="clear" w:color="auto" w:fill="auto"/>
        <w:bidi w:val="0"/>
        <w:jc w:val="both"/>
        <w:spacing w:before="0" w:after="240" w:line="298" w:lineRule="exact"/>
        <w:ind w:left="20" w:right="20" w:firstLine="700"/>
      </w:pPr>
      <w:r>
        <w:rPr>
          <w:lang w:val="ru-RU" w:eastAsia="ru-RU" w:bidi="ru-RU"/>
          <w:sz w:val="24"/>
          <w:szCs w:val="24"/>
          <w:w w:val="100"/>
          <w:spacing w:val="0"/>
          <w:color w:val="000000"/>
          <w:position w:val="0"/>
        </w:rPr>
        <w:t xml:space="preserve"> Передать материалы дела должностному лицу Амурского У ФАС России для рассмотрения вопроса о возбуждения административного производства.</w:t>
      </w:r>
    </w:p>
    <w:p>
      <w:pPr>
        <w:pStyle w:val="Style6"/>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Решение может быть обжаловано в Арбитражный суд Амурской области в течение трех месяцев со дня его принятия.</w:t>
      </w:r>
    </w:p>
    <w:p>
      <w:pPr>
        <w:pStyle w:val="Style6"/>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Председатель Комиссии:</w:t>
      </w:r>
    </w:p>
    <w:p>
      <w:pPr>
        <w:pStyle w:val="Style6"/>
        <w:widowControl w:val="0"/>
        <w:keepNext w:val="0"/>
        <w:keepLines w:val="0"/>
        <w:shd w:val="clear" w:color="auto" w:fill="auto"/>
        <w:bidi w:val="0"/>
        <w:jc w:val="left"/>
        <w:spacing w:before="0" w:after="792" w:line="240" w:lineRule="exact"/>
        <w:ind w:left="20" w:right="0" w:firstLine="0"/>
      </w:pPr>
      <w:r>
        <w:rPr>
          <w:lang w:val="ru-RU" w:eastAsia="ru-RU" w:bidi="ru-RU"/>
          <w:sz w:val="24"/>
          <w:szCs w:val="24"/>
          <w:w w:val="100"/>
          <w:spacing w:val="0"/>
          <w:color w:val="000000"/>
          <w:position w:val="0"/>
        </w:rPr>
        <w:t>Члены Комиссии:</w:t>
      </w:r>
    </w:p>
    <w:sectPr>
      <w:type w:val="continuous"/>
      <w:pgSz w:w="11906" w:h="16838"/>
      <w:pgMar w:top="837" w:left="1909" w:right="608" w:bottom="87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9.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11.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11.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021"/>
      <w:numFmt w:val="decimal"/>
      <w:lvlText w:val="26.10.%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 Не полужирный,Интервал 0 pt"/>
    <w:basedOn w:val="CharStyle4"/>
    <w:rPr>
      <w:lang w:val="ru-RU" w:eastAsia="ru-RU" w:bidi="ru-RU"/>
      <w:b/>
      <w:bCs/>
      <w:w w:val="100"/>
      <w:spacing w:val="10"/>
      <w:color w:val="000000"/>
      <w:position w:val="0"/>
    </w:rPr>
  </w:style>
  <w:style w:type="character" w:customStyle="1" w:styleId="CharStyle7">
    <w:name w:val="Основной текст_"/>
    <w:basedOn w:val="DefaultParagraphFont"/>
    <w:link w:val="Style6"/>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3)_"/>
    <w:basedOn w:val="DefaultParagraphFont"/>
    <w:link w:val="Style8"/>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10">
    <w:name w:val="Основной текст (3) + Полужирный,Интервал 0 pt"/>
    <w:basedOn w:val="CharStyle9"/>
    <w:rPr>
      <w:lang w:val="ru-RU" w:eastAsia="ru-RU" w:bidi="ru-RU"/>
      <w:b/>
      <w:bCs/>
      <w:w w:val="100"/>
      <w:spacing w:val="0"/>
      <w:color w:val="000000"/>
      <w:position w:val="0"/>
    </w:rPr>
  </w:style>
  <w:style w:type="character" w:customStyle="1" w:styleId="CharStyle12">
    <w:name w:val="Основной текст (4)_"/>
    <w:basedOn w:val="DefaultParagraphFont"/>
    <w:link w:val="Style11"/>
    <w:rPr>
      <w:b w:val="0"/>
      <w:bCs w:val="0"/>
      <w:i w:val="0"/>
      <w:iCs w:val="0"/>
      <w:u w:val="none"/>
      <w:strike w:val="0"/>
      <w:smallCaps w:val="0"/>
      <w:sz w:val="16"/>
      <w:szCs w:val="16"/>
      <w:rFonts w:ascii="Times New Roman" w:eastAsia="Times New Roman" w:hAnsi="Times New Roman" w:cs="Times New Roman"/>
      <w:spacing w:val="10"/>
    </w:rPr>
  </w:style>
  <w:style w:type="character" w:customStyle="1" w:styleId="CharStyle13">
    <w:name w:val="Основной текст (4) + Интервал 0 pt"/>
    <w:basedOn w:val="CharStyle12"/>
    <w:rPr>
      <w:lang w:val="ru-RU" w:eastAsia="ru-RU" w:bidi="ru-RU"/>
      <w:w w:val="100"/>
      <w:spacing w:val="0"/>
      <w:color w:val="000000"/>
      <w:position w:val="0"/>
    </w:rPr>
  </w:style>
  <w:style w:type="character" w:customStyle="1" w:styleId="CharStyle15">
    <w:name w:val="Заголовок №1_"/>
    <w:basedOn w:val="DefaultParagraphFont"/>
    <w:link w:val="Style14"/>
    <w:rPr>
      <w:b w:val="0"/>
      <w:bCs w:val="0"/>
      <w:i w:val="0"/>
      <w:iCs w:val="0"/>
      <w:u w:val="none"/>
      <w:strike w:val="0"/>
      <w:smallCaps w:val="0"/>
      <w:sz w:val="28"/>
      <w:szCs w:val="28"/>
      <w:rFonts w:ascii="Tahoma" w:eastAsia="Tahoma" w:hAnsi="Tahoma" w:cs="Tahoma"/>
      <w:w w:val="60"/>
      <w:spacing w:val="20"/>
    </w:rPr>
  </w:style>
  <w:style w:type="character" w:customStyle="1" w:styleId="CharStyle16">
    <w:name w:val="Заголовок №1 + Times New Roman,17 pt,Интервал 0 pt,Масштаб 100%"/>
    <w:basedOn w:val="CharStyle15"/>
    <w:rPr>
      <w:lang w:val="ru-RU" w:eastAsia="ru-RU" w:bidi="ru-RU"/>
      <w:sz w:val="34"/>
      <w:szCs w:val="34"/>
      <w:rFonts w:ascii="Times New Roman" w:eastAsia="Times New Roman" w:hAnsi="Times New Roman" w:cs="Times New Roman"/>
      <w:w w:val="100"/>
      <w:spacing w:val="0"/>
      <w:color w:val="000000"/>
      <w:position w:val="0"/>
    </w:rPr>
  </w:style>
  <w:style w:type="character" w:customStyle="1" w:styleId="CharStyle18">
    <w:name w:val="Основной текст (5)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20">
    <w:name w:val="Основной текст (6)_"/>
    <w:basedOn w:val="DefaultParagraphFont"/>
    <w:link w:val="Style19"/>
    <w:rPr>
      <w:b/>
      <w:bCs/>
      <w:i w:val="0"/>
      <w:iCs w:val="0"/>
      <w:u w:val="none"/>
      <w:strike w:val="0"/>
      <w:smallCaps w:val="0"/>
      <w:rFonts w:ascii="Times New Roman" w:eastAsia="Times New Roman" w:hAnsi="Times New Roman" w:cs="Times New Roman"/>
    </w:rPr>
  </w:style>
  <w:style w:type="character" w:customStyle="1" w:styleId="CharStyle21">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23">
    <w:name w:val="Основной текст (7)_"/>
    <w:basedOn w:val="DefaultParagraphFont"/>
    <w:link w:val="Style22"/>
    <w:rPr>
      <w:b w:val="0"/>
      <w:bCs w:val="0"/>
      <w:i w:val="0"/>
      <w:iCs w:val="0"/>
      <w:u w:val="none"/>
      <w:strike w:val="0"/>
      <w:smallCaps w:val="0"/>
      <w:sz w:val="22"/>
      <w:szCs w:val="22"/>
      <w:rFonts w:ascii="Times New Roman" w:eastAsia="Times New Roman" w:hAnsi="Times New Roman" w:cs="Times New Roman"/>
      <w:spacing w:val="10"/>
    </w:rPr>
  </w:style>
  <w:style w:type="character" w:customStyle="1" w:styleId="CharStyle24">
    <w:name w:val="Основной текст (7) + 8 pt,Полужирный,Интервал 0 pt"/>
    <w:basedOn w:val="CharStyle23"/>
    <w:rPr>
      <w:lang w:val="ru-RU" w:eastAsia="ru-RU" w:bidi="ru-RU"/>
      <w:b/>
      <w:bCs/>
      <w:sz w:val="16"/>
      <w:szCs w:val="16"/>
      <w:w w:val="100"/>
      <w:spacing w:val="0"/>
      <w:color w:val="000000"/>
      <w:position w:val="0"/>
    </w:rPr>
  </w:style>
  <w:style w:type="character" w:customStyle="1" w:styleId="CharStyle26">
    <w:name w:val="Основной текст (8)_"/>
    <w:basedOn w:val="DefaultParagraphFont"/>
    <w:link w:val="Style25"/>
    <w:rPr>
      <w:b w:val="0"/>
      <w:bCs w:val="0"/>
      <w:i w:val="0"/>
      <w:iCs w:val="0"/>
      <w:u w:val="none"/>
      <w:strike w:val="0"/>
      <w:smallCaps w:val="0"/>
      <w:sz w:val="26"/>
      <w:szCs w:val="26"/>
      <w:rFonts w:ascii="Times New Roman" w:eastAsia="Times New Roman" w:hAnsi="Times New Roman" w:cs="Times New Roman"/>
      <w:spacing w:val="50"/>
    </w:rPr>
  </w:style>
  <w:style w:type="paragraph" w:customStyle="1" w:styleId="Style3">
    <w:name w:val="Основной текст (2)"/>
    <w:basedOn w:val="Normal"/>
    <w:link w:val="CharStyle4"/>
    <w:pPr>
      <w:widowControl w:val="0"/>
      <w:shd w:val="clear" w:color="auto" w:fill="FFFFFF"/>
      <w:jc w:val="center"/>
      <w:spacing w:after="60" w:line="293"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w:basedOn w:val="Normal"/>
    <w:link w:val="CharStyle7"/>
    <w:pPr>
      <w:widowControl w:val="0"/>
      <w:shd w:val="clear" w:color="auto" w:fill="FFFFFF"/>
      <w:jc w:val="center"/>
      <w:spacing w:before="60"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8">
    <w:name w:val="Основной текст (3)"/>
    <w:basedOn w:val="Normal"/>
    <w:link w:val="CharStyle9"/>
    <w:pPr>
      <w:widowControl w:val="0"/>
      <w:shd w:val="clear" w:color="auto" w:fill="FFFFFF"/>
      <w:jc w:val="center"/>
      <w:spacing w:before="60" w:after="60" w:line="259"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11">
    <w:name w:val="Основной текст (4)"/>
    <w:basedOn w:val="Normal"/>
    <w:link w:val="CharStyle12"/>
    <w:pPr>
      <w:widowControl w:val="0"/>
      <w:shd w:val="clear" w:color="auto" w:fill="FFFFFF"/>
      <w:jc w:val="center"/>
      <w:spacing w:before="60" w:after="60" w:line="221" w:lineRule="exact"/>
    </w:pPr>
    <w:rPr>
      <w:b w:val="0"/>
      <w:bCs w:val="0"/>
      <w:i w:val="0"/>
      <w:iCs w:val="0"/>
      <w:u w:val="none"/>
      <w:strike w:val="0"/>
      <w:smallCaps w:val="0"/>
      <w:sz w:val="16"/>
      <w:szCs w:val="16"/>
      <w:rFonts w:ascii="Times New Roman" w:eastAsia="Times New Roman" w:hAnsi="Times New Roman" w:cs="Times New Roman"/>
      <w:spacing w:val="10"/>
    </w:rPr>
  </w:style>
  <w:style w:type="paragraph" w:customStyle="1" w:styleId="Style14">
    <w:name w:val="Заголовок №1"/>
    <w:basedOn w:val="Normal"/>
    <w:link w:val="CharStyle15"/>
    <w:pPr>
      <w:widowControl w:val="0"/>
      <w:shd w:val="clear" w:color="auto" w:fill="FFFFFF"/>
      <w:outlineLvl w:val="0"/>
      <w:spacing w:before="60" w:line="0" w:lineRule="exact"/>
    </w:pPr>
    <w:rPr>
      <w:b w:val="0"/>
      <w:bCs w:val="0"/>
      <w:i w:val="0"/>
      <w:iCs w:val="0"/>
      <w:u w:val="none"/>
      <w:strike w:val="0"/>
      <w:smallCaps w:val="0"/>
      <w:sz w:val="28"/>
      <w:szCs w:val="28"/>
      <w:rFonts w:ascii="Tahoma" w:eastAsia="Tahoma" w:hAnsi="Tahoma" w:cs="Tahoma"/>
      <w:w w:val="60"/>
      <w:spacing w:val="20"/>
    </w:rPr>
  </w:style>
  <w:style w:type="paragraph" w:customStyle="1" w:styleId="Style17">
    <w:name w:val="Основной текст (5)"/>
    <w:basedOn w:val="Normal"/>
    <w:link w:val="CharStyle18"/>
    <w:pPr>
      <w:widowControl w:val="0"/>
      <w:shd w:val="clear" w:color="auto" w:fill="FFFFFF"/>
      <w:jc w:val="center"/>
      <w:spacing w:after="6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9">
    <w:name w:val="Основной текст (6)"/>
    <w:basedOn w:val="Normal"/>
    <w:link w:val="CharStyle20"/>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22">
    <w:name w:val="Основной текст (7)"/>
    <w:basedOn w:val="Normal"/>
    <w:link w:val="CharStyle23"/>
    <w:pPr>
      <w:widowControl w:val="0"/>
      <w:shd w:val="clear" w:color="auto" w:fill="FFFFFF"/>
      <w:jc w:val="right"/>
      <w:spacing w:after="60" w:line="0" w:lineRule="exact"/>
    </w:pPr>
    <w:rPr>
      <w:b w:val="0"/>
      <w:bCs w:val="0"/>
      <w:i w:val="0"/>
      <w:iCs w:val="0"/>
      <w:u w:val="none"/>
      <w:strike w:val="0"/>
      <w:smallCaps w:val="0"/>
      <w:sz w:val="22"/>
      <w:szCs w:val="22"/>
      <w:rFonts w:ascii="Times New Roman" w:eastAsia="Times New Roman" w:hAnsi="Times New Roman" w:cs="Times New Roman"/>
      <w:spacing w:val="10"/>
    </w:rPr>
  </w:style>
  <w:style w:type="paragraph" w:customStyle="1" w:styleId="Style25">
    <w:name w:val="Основной текст (8)"/>
    <w:basedOn w:val="Normal"/>
    <w:link w:val="CharStyle26"/>
    <w:pPr>
      <w:widowControl w:val="0"/>
      <w:shd w:val="clear" w:color="auto" w:fill="FFFFFF"/>
      <w:spacing w:before="240" w:after="60" w:line="0" w:lineRule="exact"/>
    </w:pPr>
    <w:rPr>
      <w:b w:val="0"/>
      <w:bCs w:val="0"/>
      <w:i w:val="0"/>
      <w:iCs w:val="0"/>
      <w:u w:val="none"/>
      <w:strike w:val="0"/>
      <w:smallCaps w:val="0"/>
      <w:sz w:val="26"/>
      <w:szCs w:val="26"/>
      <w:rFonts w:ascii="Times New Roman" w:eastAsia="Times New Roman" w:hAnsi="Times New Roman" w:cs="Times New Roman"/>
      <w:spacing w:val="5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