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33" w:after="45"/>
        <w:ind w:left="20" w:right="0" w:firstLine="0"/>
      </w:pPr>
      <w:r>
        <w:rPr>
          <w:rStyle w:val="CharStyle5"/>
          <w:b w:val="0"/>
          <w:bCs w:val="0"/>
        </w:rPr>
        <w:t xml:space="preserve">ФЕДЕРАЛЬНАЯ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АНТИМ</w:t>
      </w:r>
      <w:r>
        <w:rPr>
          <w:rStyle w:val="CharStyle6"/>
          <w:b/>
          <w:bCs/>
        </w:rPr>
        <w:t xml:space="preserve">ОНОП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9"/>
        </w:rPr>
        <w:t xml:space="preserve">УПРАВЛЕНИЕ </w:t>
      </w:r>
      <w:r>
        <w:rPr>
          <w:lang w:val="ru-RU" w:eastAsia="ru-RU" w:bidi="ru-RU"/>
          <w:w w:val="100"/>
          <w:color w:val="000000"/>
          <w:position w:val="0"/>
        </w:rPr>
        <w:t xml:space="preserve">Федеральной </w:t>
      </w:r>
      <w:r>
        <w:rPr>
          <w:rStyle w:val="CharStyle10"/>
        </w:rPr>
        <w:t xml:space="preserve">антимонопольной </w:t>
      </w:r>
      <w:r>
        <w:rPr>
          <w:lang w:val="ru-RU" w:eastAsia="ru-RU" w:bidi="ru-RU"/>
          <w:w w:val="100"/>
          <w:color w:val="000000"/>
          <w:position w:val="0"/>
        </w:rPr>
        <w:t>службы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101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но Амурской </w:t>
      </w:r>
      <w:r>
        <w:rPr>
          <w:rStyle w:val="CharStyle13"/>
        </w:rPr>
        <w:t>области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9"/>
        <w:ind w:left="0" w:right="0" w:firstLine="0"/>
      </w:pPr>
      <w:r>
        <w:rPr>
          <w:rStyle w:val="CharStyle16"/>
          <w:b w:val="0"/>
          <w:bCs w:val="0"/>
        </w:rPr>
        <w:t xml:space="preserve">ул. </w:t>
      </w:r>
      <w:r>
        <w:rPr>
          <w:lang w:val="ru-RU" w:eastAsia="ru-RU" w:bidi="ru-RU"/>
          <w:w w:val="100"/>
          <w:color w:val="000000"/>
          <w:position w:val="0"/>
        </w:rPr>
        <w:t xml:space="preserve">Амурття, 150, г. БллгслелАелск, </w:t>
      </w:r>
      <w:r>
        <w:rPr>
          <w:rStyle w:val="CharStyle17"/>
          <w:b w:val="0"/>
          <w:bCs w:val="0"/>
        </w:rPr>
        <w:t xml:space="preserve">Амурсяял облясть, </w:t>
      </w:r>
      <w:r>
        <w:rPr>
          <w:lang w:val="ru-RU" w:eastAsia="ru-RU" w:bidi="ru-RU"/>
          <w:w w:val="100"/>
          <w:color w:val="000000"/>
          <w:position w:val="0"/>
        </w:rPr>
        <w:t xml:space="preserve">675000 тел. (4162) 52-00-07, флле (4162) 52-00-35 </w:t>
      </w:r>
      <w:r>
        <w:rPr>
          <w:rStyle w:val="CharStyle18"/>
          <w:b w:val="0"/>
          <w:bCs w:val="0"/>
        </w:rPr>
        <w:t>E-mail; te2-?vZ fas.gov.ru</w:t>
      </w:r>
    </w:p>
    <w:p>
      <w:pPr>
        <w:pStyle w:val="Style19"/>
        <w:tabs>
          <w:tab w:leader="none" w:pos="2190" w:val="right"/>
        </w:tabs>
        <w:widowControl w:val="0"/>
        <w:keepNext/>
        <w:keepLines/>
        <w:shd w:val="clear" w:color="auto" w:fill="auto"/>
        <w:bidi w:val="0"/>
        <w:spacing w:before="0" w:after="0" w:line="260" w:lineRule="exact"/>
        <w:ind w:left="380" w:right="0" w:firstLine="0"/>
      </w:pPr>
      <w:bookmarkStart w:id="0" w:name="bookmark0"/>
      <w:r>
        <w:rPr>
          <w:rStyle w:val="CharStyle21"/>
        </w:rPr>
        <w:t>15</w:t>
      </w:r>
      <w:r>
        <w:rPr>
          <w:rStyle w:val="CharStyle22"/>
        </w:rPr>
        <w:t xml:space="preserve">, </w:t>
      </w:r>
      <w:r>
        <w:rPr>
          <w:rStyle w:val="CharStyle21"/>
        </w:rPr>
        <w:t>1</w:t>
      </w:r>
      <w:r>
        <w:rPr>
          <w:rStyle w:val="CharStyle22"/>
        </w:rPr>
        <w:t xml:space="preserve"> </w:t>
      </w:r>
      <w:r>
        <w:rPr>
          <w:rStyle w:val="CharStyle21"/>
        </w:rPr>
        <w:t>1,211</w:t>
      </w:r>
      <w:r>
        <w:rPr>
          <w:rStyle w:val="CharStyle23"/>
        </w:rPr>
        <w:tab/>
      </w:r>
      <w:r>
        <w:rPr>
          <w:rStyle w:val="CharStyle23"/>
          <w:vertAlign w:val="subscript"/>
        </w:rPr>
        <w:t>№</w:t>
      </w:r>
      <w:bookmarkEnd w:id="0"/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 осударственному заказчику: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236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Территориальному фонду обязательного медицинского страхования Амурской области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544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Воронкова, 26/2, 5 этаж Благовещенск, 675000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"mailto:general@aofoms.tsl.ru"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general@aofoms.tsl.ru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"mailto:viktoria@aofoms.tsl.ru"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viktoria@aofoms.tsl.ru</w:t>
      </w:r>
      <w:r>
        <w:fldChar w:fldCharType="end"/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Заявителю: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33" w:left="829" w:right="1443" w:bottom="220" w:header="0" w:footer="3" w:gutter="0"/>
          <w:rtlGutter w:val="0"/>
          <w:cols w:num="2" w:space="581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Обществу с ограниченной ответственностью «НТЦ «Цеолит»</w:t>
      </w: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586"/>
        <w:ind w:left="4600" w:right="10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Тихоокеанская, 73 литер 1Д Волочаевская, 153, оф. 153 Хабаровск, 6В0000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"mailto:zeolit@mail.redcom.ru"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zeolit@mail.redcom.ru</w:t>
      </w:r>
      <w:r>
        <w:fldChar w:fldCharType="end"/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2" w:line="240" w:lineRule="exact"/>
        <w:ind w:left="46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 электронной площадки: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261" w:line="240" w:lineRule="exact"/>
        <w:ind w:left="46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«Сбербанк-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ACT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»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836"/>
        <w:ind w:left="4600" w:right="10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тел./факс: (495) 787-29-98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center"/>
        <w:spacing w:before="0" w:after="244" w:line="302" w:lineRule="exact"/>
        <w:ind w:left="9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 028/06/105-666/2021</w:t>
      </w:r>
    </w:p>
    <w:p>
      <w:pPr>
        <w:pStyle w:val="Style26"/>
        <w:numPr>
          <w:ilvl w:val="0"/>
          <w:numId w:val="1"/>
        </w:numPr>
        <w:tabs>
          <w:tab w:leader="none" w:pos="7604" w:val="center"/>
          <w:tab w:leader="none" w:pos="9332" w:val="right"/>
          <w:tab w:leader="none" w:pos="753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</w:t>
        <w:tab/>
        <w:t>Благовещенск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244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(в полном объеме изготовлено 15.11.2021)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Амурской области (далее - Амурское У ФАС России) по контролю в сфере закупок в составе: Горячевой Н.В. - заместителя руководителя управления, председателя Комиссии; Стрелковой Е.В. - главного специалиста-эксперта отдела контроля закупок; Лесковой Ю.П. - ведущего специалиста-эксперта отдела контроля закупок; Левченко И.И. - специалиста-эксперта отдела контроля закупок,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550" w:line="293" w:lineRule="exact"/>
        <w:ind w:left="20" w:right="4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своего решения от 10.11.2021 о нарушении аукционной комиссией заказчика - Территориального фонда обязательного медицинского страхования Амурской области (далее - ТФОМС Амурской области)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 осуществлении закупки в форме электронного аукциона на закупку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80" w:lineRule="exact"/>
        <w:ind w:left="0" w:right="2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088381</w:t>
      </w:r>
      <w:r>
        <w:rPr>
          <w:rStyle w:val="CharStyle30"/>
          <w:b/>
          <w:bCs/>
        </w:rPr>
        <w:t xml:space="preserve"> *</w:t>
      </w:r>
      <w:r>
        <w:br w:type="page"/>
      </w:r>
    </w:p>
    <w:p>
      <w:pPr>
        <w:pStyle w:val="Style26"/>
        <w:tabs>
          <w:tab w:leader="none" w:pos="7542" w:val="center"/>
          <w:tab w:leader="none" w:pos="933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рулонных жалюзи, объявленной извещением</w:t>
        <w:tab/>
        <w:t>от</w:t>
        <w:tab/>
        <w:t>11.10.2021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294" w:line="307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№ 0223100002021000007 на электронной площадке ЗАО «Сбербанк - АСТ» </w:t>
      </w:r>
      <w:r>
        <w:fldChar w:fldCharType="begin"/>
      </w:r>
      <w:r>
        <w:rPr>
          <w:color w:val="000000"/>
        </w:rPr>
        <w:instrText> HYPERLINK "http://www.sberbank-ast.ru"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www.sberbank-ast.ru</w:t>
      </w:r>
      <w:r>
        <w:fldChar w:fldCharType="end"/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rStyle w:val="CharStyle31"/>
          <w:b/>
          <w:bCs/>
        </w:rPr>
        <w:t>предписывает: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240" w:line="302" w:lineRule="exact"/>
        <w:ind w:left="20" w:right="20" w:firstLine="700"/>
      </w:pPr>
      <w:r>
        <w:rPr>
          <w:rStyle w:val="CharStyle32"/>
        </w:rPr>
        <w:t xml:space="preserve">Заказчику и аукционной комиссии заказчика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ТФОМС Амурской области устранить нарушения законодательства Российской Федерации о контрактной системе, допущенные при размещении указанной закупки.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Для чего, в срок до 23 ноября 2021 года:</w:t>
      </w:r>
    </w:p>
    <w:p>
      <w:pPr>
        <w:pStyle w:val="Style2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отменить протокол подведения итогов от 26.10.2021 по закупке в форме электронного аукциона на закупку рулонных жалюзи, объявленной извещением от</w:t>
      </w:r>
    </w:p>
    <w:p>
      <w:pPr>
        <w:pStyle w:val="Style26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№ 0223100002021000007;</w:t>
      </w:r>
    </w:p>
    <w:p>
      <w:pPr>
        <w:pStyle w:val="Style2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осуществить повторное рассмотрение вторых частей заявок, с учетом принятого комиссией Амурского У ФАС России решения от 10.11.2021 по делу №028/06/105-666/2021;</w:t>
      </w:r>
    </w:p>
    <w:p>
      <w:pPr>
        <w:pStyle w:val="Style2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8" w:line="30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продолжить процедуру закупки в соответствии с требованиями законодательства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236"/>
        <w:ind w:left="20" w:right="20" w:firstLine="700"/>
      </w:pPr>
      <w:r>
        <w:rPr>
          <w:rStyle w:val="CharStyle32"/>
        </w:rPr>
        <w:t xml:space="preserve">Оператору электронной площадки ЗАО «Сбербанк - АСТ» </w:t>
      </w:r>
      <w:r>
        <w:fldChar w:fldCharType="begin"/>
      </w:r>
      <w:r>
        <w:rPr>
          <w:rStyle w:val="CharStyle32"/>
        </w:rPr>
        <w:instrText> HYPERLINK "http://www.sberbank-ast.ru" </w:instrText>
      </w:r>
      <w:r>
        <w:fldChar w:fldCharType="separate"/>
      </w:r>
      <w:r>
        <w:rPr>
          <w:rStyle w:val="Hyperlink"/>
          <w:lang w:val="en-US" w:eastAsia="en-US" w:bidi="en-US"/>
        </w:rPr>
        <w:t>www.sberbank-ast.ru</w:t>
      </w:r>
      <w:r>
        <w:fldChar w:fldCharType="end"/>
      </w:r>
      <w:r>
        <w:rPr>
          <w:rStyle w:val="CharStyle32"/>
          <w:lang w:val="en-US" w:eastAsia="en-US" w:bidi="en-US"/>
        </w:rPr>
        <w:t xml:space="preserve">: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момента выдачи предписания обеспечить заказчику и уполномоченному органу возможность исполнения настоящего предписания.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Заказчику информацию, а также копии документов и сведения об исполнении предписания представить в Амурское </w:t>
      </w:r>
      <w:r>
        <w:rPr>
          <w:rStyle w:val="CharStyle32"/>
        </w:rPr>
        <w:t xml:space="preserve">У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ФАС России </w:t>
      </w:r>
      <w:r>
        <w:rPr>
          <w:rStyle w:val="CharStyle32"/>
        </w:rPr>
        <w:t>в срок до</w:t>
      </w:r>
    </w:p>
    <w:p>
      <w:pPr>
        <w:pStyle w:val="Style2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4" w:line="302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 факсу (4162) 52-00-35 или электронной почтой </w:t>
      </w:r>
      <w:r>
        <w:fldChar w:fldCharType="begin"/>
      </w:r>
      <w:r>
        <w:rPr>
          <w:color w:val="000000"/>
        </w:rPr>
        <w:instrText> HYPERLINK "mailto:to28@fas.gov.ru"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to28@fas.gov.ru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последующим письменным подтверждением.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294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может быть обжаловано в Арбитражный суд Амурской области в течение трех месяцев со дня его принятия.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Примечание: в соответствии с ч. 7 ст. 19.5 Кодекса РФ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7.1 и 7.2 настоящей статьи,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  <w:sectPr>
          <w:type w:val="continuous"/>
          <w:pgSz w:w="11906" w:h="16838"/>
          <w:pgMar w:top="1024" w:left="826" w:right="826" w:bottom="611" w:header="0" w:footer="3" w:gutter="494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Комиссии:</w:t>
      </w:r>
    </w:p>
    <w:p>
      <w:pPr>
        <w:widowControl w:val="0"/>
        <w:spacing w:before="36" w:after="3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6"/>
        <w:framePr w:h="230" w:wrap="around" w:hAnchor="margin" w:x="-6623" w:y="1290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35"/>
          <w:spacing w:val="0"/>
        </w:rPr>
        <w:t>Члены Комиссии: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right"/>
        <w:spacing w:before="0" w:after="0" w:line="600" w:lineRule="exact"/>
        <w:ind w:left="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^ Е.В. Стрелкова Ю.П. Лескова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И.И. Левченко</w:t>
      </w:r>
    </w:p>
    <w:sectPr>
      <w:type w:val="continuous"/>
      <w:pgSz w:w="11906" w:h="16838"/>
      <w:pgMar w:top="1137" w:left="7921" w:right="1071" w:bottom="111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10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1"/>
      <w:numFmt w:val="decimal"/>
      <w:lvlText w:val="11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21"/>
      <w:numFmt w:val="decimal"/>
      <w:lvlText w:val="24.11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 + Не полужирный,Интервал 0 pt"/>
    <w:basedOn w:val="CharStyle4"/>
    <w:rPr>
      <w:lang w:val="ru-RU" w:eastAsia="ru-RU" w:bidi="ru-RU"/>
      <w:b/>
      <w:bCs/>
      <w:w w:val="100"/>
      <w:spacing w:val="10"/>
      <w:color w:val="000000"/>
      <w:position w:val="0"/>
    </w:rPr>
  </w:style>
  <w:style w:type="character" w:customStyle="1" w:styleId="CharStyle6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9">
    <w:name w:val="Основной текст (3) + 11,5 pt,Интервал 0 pt"/>
    <w:basedOn w:val="CharStyle8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10">
    <w:name w:val="Основной текст (3) + Полужирный,Интервал 0 pt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 (4) + 11 pt,Полужирный"/>
    <w:basedOn w:val="CharStyle12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15">
    <w:name w:val="Основной текст (5)_"/>
    <w:basedOn w:val="DefaultParagraphFont"/>
    <w:link w:val="Style14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0"/>
    </w:rPr>
  </w:style>
  <w:style w:type="character" w:customStyle="1" w:styleId="CharStyle16">
    <w:name w:val="Основной текст (5) + Lucida Sans Unicode,7 pt,Не полужирный,Интервал 0 pt"/>
    <w:basedOn w:val="CharStyle15"/>
    <w:rPr>
      <w:lang w:val="ru-RU" w:eastAsia="ru-RU" w:bidi="ru-RU"/>
      <w:b/>
      <w:bCs/>
      <w:sz w:val="14"/>
      <w:szCs w:val="14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17">
    <w:name w:val="Основной текст (5) + Не полужирный,Интервал 1 pt"/>
    <w:basedOn w:val="CharStyle15"/>
    <w:rPr>
      <w:lang w:val="ru-RU" w:eastAsia="ru-RU" w:bidi="ru-RU"/>
      <w:b/>
      <w:bCs/>
      <w:w w:val="100"/>
      <w:spacing w:val="20"/>
      <w:color w:val="000000"/>
      <w:position w:val="0"/>
    </w:rPr>
  </w:style>
  <w:style w:type="character" w:customStyle="1" w:styleId="CharStyle18">
    <w:name w:val="Основной текст (5) + 7,5 pt,Не полужирный"/>
    <w:basedOn w:val="CharStyle15"/>
    <w:rPr>
      <w:lang w:val="en-US" w:eastAsia="en-US" w:bidi="en-US"/>
      <w:b/>
      <w:bCs/>
      <w:sz w:val="15"/>
      <w:szCs w:val="15"/>
      <w:w w:val="100"/>
      <w:color w:val="000000"/>
      <w:position w:val="0"/>
    </w:rPr>
  </w:style>
  <w:style w:type="character" w:customStyle="1" w:styleId="CharStyle20">
    <w:name w:val="Заголовок №1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1">
    <w:name w:val="Заголовок №1"/>
    <w:basedOn w:val="CharStyle2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2">
    <w:name w:val="Заголовок №1 + Lucida Sans Unicode,8,5 pt"/>
    <w:basedOn w:val="CharStyle20"/>
    <w:rPr>
      <w:lang w:val="ru-RU" w:eastAsia="ru-RU" w:bidi="ru-RU"/>
      <w:u w:val="single"/>
      <w:sz w:val="17"/>
      <w:szCs w:val="17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23">
    <w:name w:val="Заголовок №1 + Lucida Sans Unicode,8,5 pt"/>
    <w:basedOn w:val="CharStyle20"/>
    <w:rPr>
      <w:lang w:val="ru-RU" w:eastAsia="ru-RU" w:bidi="ru-RU"/>
      <w:sz w:val="17"/>
      <w:szCs w:val="17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25">
    <w:name w:val="Основной текст (6)_"/>
    <w:basedOn w:val="DefaultParagraphFont"/>
    <w:link w:val="Style24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7">
    <w:name w:val="Основной текст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9">
    <w:name w:val="Основной текст (7)_"/>
    <w:basedOn w:val="DefaultParagraphFont"/>
    <w:link w:val="Style28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0">
    <w:name w:val="Основной текст (7) + 14 pt"/>
    <w:basedOn w:val="CharStyle29"/>
    <w:rPr>
      <w:lang w:val="ru-RU" w:eastAsia="ru-RU" w:bidi="ru-RU"/>
      <w:sz w:val="28"/>
      <w:szCs w:val="28"/>
      <w:w w:val="100"/>
      <w:spacing w:val="0"/>
      <w:color w:val="000000"/>
      <w:position w:val="0"/>
    </w:rPr>
  </w:style>
  <w:style w:type="character" w:customStyle="1" w:styleId="CharStyle31">
    <w:name w:val="Основной текст (6) + Интервал 2 pt"/>
    <w:basedOn w:val="CharStyle25"/>
    <w:rPr>
      <w:lang w:val="ru-RU" w:eastAsia="ru-RU" w:bidi="ru-RU"/>
      <w:sz w:val="24"/>
      <w:szCs w:val="24"/>
      <w:w w:val="100"/>
      <w:spacing w:val="40"/>
      <w:color w:val="000000"/>
      <w:position w:val="0"/>
    </w:rPr>
  </w:style>
  <w:style w:type="character" w:customStyle="1" w:styleId="CharStyle32">
    <w:name w:val="Основной текст + Полужирный"/>
    <w:basedOn w:val="CharStyle27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4">
    <w:name w:val="Основной текст (8)_"/>
    <w:basedOn w:val="DefaultParagraphFont"/>
    <w:link w:val="Style3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3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00" w:after="60" w:line="288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line="307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center"/>
      <w:spacing w:after="18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jc w:val="center"/>
      <w:spacing w:before="180" w:after="60" w:line="221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0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FFFFFF"/>
      <w:jc w:val="both"/>
      <w:outlineLvl w:val="0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4">
    <w:name w:val="Основной текст (6)"/>
    <w:basedOn w:val="Normal"/>
    <w:link w:val="CharStyle25"/>
    <w:pPr>
      <w:widowControl w:val="0"/>
      <w:shd w:val="clear" w:color="auto" w:fill="FFFFFF"/>
      <w:spacing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6">
    <w:name w:val="Основной текст"/>
    <w:basedOn w:val="Normal"/>
    <w:link w:val="CharStyle27"/>
    <w:pPr>
      <w:widowControl w:val="0"/>
      <w:shd w:val="clear" w:color="auto" w:fill="FFFFFF"/>
      <w:spacing w:before="60" w:after="240" w:line="29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8">
    <w:name w:val="Основной текст (7)"/>
    <w:basedOn w:val="Normal"/>
    <w:link w:val="CharStyle29"/>
    <w:pPr>
      <w:widowControl w:val="0"/>
      <w:shd w:val="clear" w:color="auto" w:fill="FFFFFF"/>
      <w:jc w:val="right"/>
      <w:spacing w:before="54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3">
    <w:name w:val="Основной текст (8)"/>
    <w:basedOn w:val="Normal"/>
    <w:link w:val="CharStyle34"/>
    <w:pPr>
      <w:widowControl w:val="0"/>
      <w:shd w:val="clear" w:color="auto" w:fill="FFFFFF"/>
      <w:jc w:val="both"/>
      <w:spacing w:before="240" w:after="420" w:line="230" w:lineRule="exact"/>
      <w:ind w:firstLine="700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