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ГБУЗ «ДГП № 143 ДЗМ»</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ул. Авиаконструктора Миля, д. 5, корп.</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1, г. Москва, 109156</w:t>
      </w:r>
    </w:p>
    <w:p>
      <w:pPr>
        <w:pStyle w:val="Style5"/>
        <w:widowControl w:val="0"/>
        <w:keepNext w:val="0"/>
        <w:keepLines w:val="0"/>
        <w:shd w:val="clear" w:color="auto" w:fill="auto"/>
        <w:bidi w:val="0"/>
        <w:jc w:val="left"/>
        <w:spacing w:before="0" w:after="0"/>
        <w:ind w:left="5340" w:right="0" w:firstLine="0"/>
      </w:pPr>
      <w:r>
        <w:fldChar w:fldCharType="begin"/>
      </w:r>
      <w:r>
        <w:rPr>
          <w:color w:val="000000"/>
        </w:rPr>
        <w:instrText> HYPERLINK "mailto:dgp143@zdrav.mos.ru" </w:instrText>
      </w:r>
      <w:r>
        <w:fldChar w:fldCharType="separate"/>
      </w:r>
      <w:r>
        <w:rPr>
          <w:rStyle w:val="Hyperlink"/>
          <w:lang w:val="en-US" w:eastAsia="en-US" w:bidi="en-US"/>
          <w:w w:val="100"/>
          <w:spacing w:val="0"/>
          <w:position w:val="0"/>
        </w:rPr>
        <w:t>dgp143@zdrav.mos.ru</w:t>
      </w:r>
      <w:r>
        <w:fldChar w:fldCharType="end"/>
      </w:r>
      <w:r>
        <w:rPr>
          <w:lang w:val="en-US" w:eastAsia="en-US" w:bidi="en-US"/>
          <w:w w:val="100"/>
          <w:spacing w:val="0"/>
          <w:color w:val="000000"/>
          <w:position w:val="0"/>
        </w:rPr>
        <w:t>,</w:t>
      </w:r>
    </w:p>
    <w:p>
      <w:pPr>
        <w:pStyle w:val="Style5"/>
        <w:widowControl w:val="0"/>
        <w:keepNext w:val="0"/>
        <w:keepLines w:val="0"/>
        <w:shd w:val="clear" w:color="auto" w:fill="auto"/>
        <w:bidi w:val="0"/>
        <w:jc w:val="left"/>
        <w:spacing w:before="0" w:after="300"/>
        <w:ind w:left="5340" w:right="0" w:firstLine="0"/>
      </w:pP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widowControl w:val="0"/>
        <w:keepNext w:val="0"/>
        <w:keepLines w:val="0"/>
        <w:shd w:val="clear" w:color="auto" w:fill="auto"/>
        <w:bidi w:val="0"/>
        <w:jc w:val="left"/>
        <w:spacing w:before="0" w:after="0"/>
        <w:ind w:left="5340" w:right="260" w:firstLine="0"/>
      </w:pPr>
      <w:r>
        <w:rPr>
          <w:lang w:val="ru-RU" w:eastAsia="ru-RU" w:bidi="ru-RU"/>
          <w:w w:val="100"/>
          <w:spacing w:val="0"/>
          <w:color w:val="000000"/>
          <w:position w:val="0"/>
        </w:rPr>
        <w:t>ИП Хачиров Темирлан Юсуфович 369303, КЧР, г. Усть-Джегута, ул. Рабочая, 99</w:t>
      </w:r>
    </w:p>
    <w:p>
      <w:pPr>
        <w:pStyle w:val="Style5"/>
        <w:widowControl w:val="0"/>
        <w:keepNext w:val="0"/>
        <w:keepLines w:val="0"/>
        <w:shd w:val="clear" w:color="auto" w:fill="auto"/>
        <w:bidi w:val="0"/>
        <w:jc w:val="left"/>
        <w:spacing w:before="0" w:after="1680"/>
        <w:ind w:left="5340" w:right="0" w:firstLine="0"/>
      </w:pPr>
      <w:r>
        <w:fldChar w:fldCharType="begin"/>
      </w:r>
      <w:r>
        <w:rPr>
          <w:color w:val="000000"/>
        </w:rPr>
        <w:instrText> HYPERLINK "mailto:temirlanhachirov@yandex.ru" </w:instrText>
      </w:r>
      <w:r>
        <w:fldChar w:fldCharType="separate"/>
      </w:r>
      <w:r>
        <w:rPr>
          <w:rStyle w:val="Hyperlink"/>
          <w:lang w:val="en-US" w:eastAsia="en-US" w:bidi="en-US"/>
          <w:w w:val="100"/>
          <w:spacing w:val="0"/>
          <w:position w:val="0"/>
        </w:rPr>
        <w:t>temirlanhachirov@yandex.ru</w:t>
      </w:r>
      <w:r>
        <w:fldChar w:fldCharType="end"/>
      </w:r>
    </w:p>
    <w:p>
      <w:pPr>
        <w:pStyle w:val="Style5"/>
        <w:tabs>
          <w:tab w:leader="none" w:pos="9122" w:val="right"/>
          <w:tab w:leader="none" w:pos="10178" w:val="right"/>
        </w:tabs>
        <w:widowControl w:val="0"/>
        <w:keepNext w:val="0"/>
        <w:keepLines w:val="0"/>
        <w:shd w:val="clear" w:color="auto" w:fill="auto"/>
        <w:bidi w:val="0"/>
        <w:jc w:val="left"/>
        <w:spacing w:before="0" w:after="0"/>
        <w:ind w:left="40" w:right="20" w:firstLine="4540"/>
      </w:pPr>
      <w:r>
        <w:rPr>
          <w:lang w:val="ru-RU" w:eastAsia="ru-RU" w:bidi="ru-RU"/>
          <w:w w:val="100"/>
          <w:spacing w:val="0"/>
          <w:color w:val="000000"/>
          <w:position w:val="0"/>
        </w:rPr>
        <w:t>РЕШЕНИЕ по делу № 077/06/106-19209/2021 о нарушении Законодательства о контрактной системе 08.11.2021</w:t>
        <w:tab/>
        <w:t>г.</w:t>
        <w:tab/>
        <w:t>Москва</w:t>
      </w:r>
    </w:p>
    <w:p>
      <w:pPr>
        <w:pStyle w:val="Style5"/>
        <w:widowControl w:val="0"/>
        <w:keepNext w:val="0"/>
        <w:keepLines w:val="0"/>
        <w:shd w:val="clear" w:color="auto" w:fill="auto"/>
        <w:bidi w:val="0"/>
        <w:jc w:val="both"/>
        <w:spacing w:before="0" w:after="0"/>
        <w:ind w:left="40" w:right="20" w:firstLine="7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ind w:left="40" w:right="20" w:firstLine="76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ind w:left="40" w:right="0" w:firstLine="7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ind w:left="40" w:right="20" w:firstLine="76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5"/>
        <w:widowControl w:val="0"/>
        <w:keepNext w:val="0"/>
        <w:keepLines w:val="0"/>
        <w:shd w:val="clear" w:color="auto" w:fill="auto"/>
        <w:bidi w:val="0"/>
        <w:jc w:val="both"/>
        <w:spacing w:before="0" w:after="0" w:line="298" w:lineRule="exact"/>
        <w:ind w:left="40" w:right="20" w:firstLine="760"/>
      </w:pPr>
      <w:r>
        <w:rPr>
          <w:lang w:val="ru-RU" w:eastAsia="ru-RU" w:bidi="ru-RU"/>
          <w:w w:val="100"/>
          <w:spacing w:val="0"/>
          <w:color w:val="000000"/>
          <w:position w:val="0"/>
        </w:rPr>
        <w:t>Главного с иалиста-эксперта отдела обжалования государственных закупок А.А. Кутейникова,</w:t>
      </w:r>
    </w:p>
    <w:p>
      <w:pPr>
        <w:pStyle w:val="Style5"/>
        <w:widowControl w:val="0"/>
        <w:keepNext w:val="0"/>
        <w:keepLines w:val="0"/>
        <w:shd w:val="clear" w:color="auto" w:fill="auto"/>
        <w:bidi w:val="0"/>
        <w:jc w:val="both"/>
        <w:spacing w:before="0" w:after="0"/>
        <w:ind w:left="40" w:right="20" w:firstLine="76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2019- </w:t>
      </w:r>
      <w:r>
        <w:rPr>
          <w:lang w:val="en-US" w:eastAsia="en-US" w:bidi="en-US"/>
          <w:w w:val="100"/>
          <w:spacing w:val="0"/>
          <w:color w:val="000000"/>
          <w:position w:val="0"/>
        </w:rPr>
        <w:t>nCoV,</w:t>
      </w:r>
    </w:p>
    <w:p>
      <w:pPr>
        <w:pStyle w:val="Style5"/>
        <w:widowControl w:val="0"/>
        <w:keepNext w:val="0"/>
        <w:keepLines w:val="0"/>
        <w:shd w:val="clear" w:color="auto" w:fill="auto"/>
        <w:bidi w:val="0"/>
        <w:jc w:val="left"/>
        <w:spacing w:before="0" w:after="0"/>
        <w:ind w:left="40" w:right="20" w:firstLine="640"/>
      </w:pPr>
      <w:r>
        <w:rPr>
          <w:lang w:val="ru-RU" w:eastAsia="ru-RU" w:bidi="ru-RU"/>
          <w:w w:val="100"/>
          <w:spacing w:val="0"/>
          <w:color w:val="000000"/>
          <w:position w:val="0"/>
        </w:rPr>
        <w:t>при участии представителей ГБУЗ «ДГП № 143 ДЗМ» и ИП Хачиров Темирлан Юсуфович,</w:t>
      </w:r>
    </w:p>
    <w:p>
      <w:pPr>
        <w:pStyle w:val="Style3"/>
        <w:framePr w:w="1685" w:h="394" w:wrap="around" w:vAnchor="text" w:hAnchor="margin" w:x="385" w:y="2564"/>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000090690334</w:t>
      </w:r>
    </w:p>
    <w:p>
      <w:pPr>
        <w:pStyle w:val="Style5"/>
        <w:widowControl w:val="0"/>
        <w:keepNext w:val="0"/>
        <w:keepLines w:val="0"/>
        <w:shd w:val="clear" w:color="auto" w:fill="auto"/>
        <w:bidi w:val="0"/>
        <w:jc w:val="both"/>
        <w:spacing w:before="0" w:after="0"/>
        <w:ind w:left="40" w:right="20" w:firstLine="760"/>
      </w:pPr>
      <w:r>
        <w:rPr>
          <w:lang w:val="ru-RU" w:eastAsia="ru-RU" w:bidi="ru-RU"/>
          <w:w w:val="100"/>
          <w:spacing w:val="0"/>
          <w:color w:val="000000"/>
          <w:position w:val="0"/>
        </w:rPr>
        <w:t>рассмотрев жалобу ИП Хачиров Темирлан Юсуфович (далее - Заявитель) на действия ГБУЗ «ДГП № 143 ДЗМ» (далее — Заказчик) при проведении электронно</w:t>
        <w:softHyphen/>
        <w:t>го аукциона на право заключения государственного контракта на поставку меди</w:t>
        <w:softHyphen/>
        <w:t>цинской мебели (Лот №8) для нужд ГБУЗ «ДГП № 143 ДЗМ» (Закупка № 0373200496621000107)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w:t>
      </w:r>
      <w:r>
        <w:br w:type="page"/>
      </w:r>
    </w:p>
    <w:p>
      <w:pPr>
        <w:pStyle w:val="Style5"/>
        <w:widowControl w:val="0"/>
        <w:keepNext w:val="0"/>
        <w:keepLines w:val="0"/>
        <w:shd w:val="clear" w:color="auto" w:fill="auto"/>
        <w:bidi w:val="0"/>
        <w:jc w:val="both"/>
        <w:spacing w:before="0" w:after="300"/>
        <w:ind w:left="20" w:right="20" w:firstLine="0"/>
      </w:pPr>
      <w:r>
        <w:rPr>
          <w:lang w:val="ru-RU" w:eastAsia="ru-RU" w:bidi="ru-RU"/>
          <w:w w:val="100"/>
          <w:spacing w:val="0"/>
          <w:color w:val="000000"/>
          <w:position w:val="0"/>
        </w:rPr>
        <w:t>контрактной системе), в соответствии с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7"/>
        <w:widowControl w:val="0"/>
        <w:keepNext/>
        <w:keepLines/>
        <w:shd w:val="clear" w:color="auto" w:fill="auto"/>
        <w:bidi w:val="0"/>
        <w:jc w:val="left"/>
        <w:spacing w:before="0" w:after="0"/>
        <w:ind w:left="440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По результатам рассмотрения жалобы, рассмотрев представленные документы и сведения, запрашиваемые письмом Московского УФАС России (исх. № ЕИ/65701/21 от 26.10.2021), Комиссия Управления установила следующее.</w:t>
      </w:r>
    </w:p>
    <w:p>
      <w:pPr>
        <w:pStyle w:val="Style5"/>
        <w:tabs>
          <w:tab w:leader="none" w:pos="3556" w:val="right"/>
          <w:tab w:leader="none" w:pos="10188" w:val="right"/>
        </w:tabs>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Заявитель</w:t>
        <w:tab/>
        <w:t>указывает на неправомерное признание</w:t>
        <w:tab/>
        <w:t>своей заявки</w:t>
      </w:r>
    </w:p>
    <w:p>
      <w:pPr>
        <w:pStyle w:val="Style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соответствующей требованиям аукционной документации ввиду представления в составе заявки сведений, по его мнению, не соответствующих требованиям аукционной документации.</w:t>
      </w:r>
    </w:p>
    <w:p>
      <w:pPr>
        <w:pStyle w:val="Style5"/>
        <w:tabs>
          <w:tab w:leader="none" w:pos="498" w:val="left"/>
          <w:tab w:leader="none" w:pos="3556" w:val="right"/>
          <w:tab w:leader="none" w:pos="3702" w:val="left"/>
          <w:tab w:leader="none" w:pos="10188" w:val="right"/>
        </w:tabs>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Комиссией Управления установлено, что согласно протоколу рассмотрения заявок на участие в электронном аукционе от 18.10.2021 №0373200496621000107-1 и</w:t>
        <w:tab/>
        <w:t>протоколу</w:t>
        <w:tab/>
        <w:t>подведения</w:t>
        <w:tab/>
        <w:t>итогов электронного аукциона</w:t>
        <w:tab/>
        <w:t>от 20.10.2021</w:t>
      </w:r>
    </w:p>
    <w:p>
      <w:pPr>
        <w:pStyle w:val="Style5"/>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№0373200496621000107-3 заявка Заявителя признана соответствующей требованиям аукционной документации.</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П.1 ч.1 ст.64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в том числе обоснование начальной (максимальной) цены контракта.</w:t>
      </w:r>
    </w:p>
    <w:p>
      <w:pPr>
        <w:pStyle w:val="Style5"/>
        <w:tabs>
          <w:tab w:leader="none" w:pos="2929" w:val="right"/>
          <w:tab w:leader="none" w:pos="3556" w:val="right"/>
          <w:tab w:leader="none" w:pos="10188" w:val="right"/>
        </w:tabs>
        <w:widowControl w:val="0"/>
        <w:keepNext w:val="0"/>
        <w:keepLines w:val="0"/>
        <w:shd w:val="clear" w:color="auto" w:fill="auto"/>
        <w:bidi w:val="0"/>
        <w:jc w:val="both"/>
        <w:spacing w:before="0" w:after="0" w:line="288" w:lineRule="exact"/>
        <w:ind w:left="20" w:right="0" w:firstLine="720"/>
      </w:pPr>
      <w:r>
        <w:rPr>
          <w:lang w:val="ru-RU" w:eastAsia="ru-RU" w:bidi="ru-RU"/>
          <w:w w:val="100"/>
          <w:spacing w:val="0"/>
          <w:color w:val="000000"/>
          <w:position w:val="0"/>
        </w:rPr>
        <w:t>В силу</w:t>
        <w:tab/>
        <w:t>п.2 ч.1</w:t>
        <w:tab/>
        <w:t>ст.64 Закона о контрактной системе</w:t>
        <w:tab/>
        <w:t>документация</w:t>
      </w:r>
    </w:p>
    <w:p>
      <w:pPr>
        <w:pStyle w:val="Style5"/>
        <w:tabs>
          <w:tab w:leader="none" w:pos="498" w:val="left"/>
          <w:tab w:leader="none" w:pos="3627" w:val="left"/>
          <w:tab w:leader="none" w:pos="10188" w:val="right"/>
        </w:tabs>
        <w:widowControl w:val="0"/>
        <w:keepNext w:val="0"/>
        <w:keepLines w:val="0"/>
        <w:shd w:val="clear" w:color="auto" w:fill="auto"/>
        <w:bidi w:val="0"/>
        <w:jc w:val="both"/>
        <w:spacing w:before="0" w:after="0" w:line="288" w:lineRule="exact"/>
        <w:ind w:left="20" w:right="0" w:firstLine="0"/>
      </w:pPr>
      <w:r>
        <w:rPr>
          <w:lang w:val="ru-RU" w:eastAsia="ru-RU" w:bidi="ru-RU"/>
          <w:w w:val="100"/>
          <w:spacing w:val="0"/>
          <w:color w:val="000000"/>
          <w:position w:val="0"/>
        </w:rPr>
        <w:t>об</w:t>
        <w:tab/>
        <w:t>электронном аукционе</w:t>
        <w:tab/>
        <w:t>наряду с информацией, указанной</w:t>
        <w:tab/>
        <w:t>в извещении</w:t>
      </w:r>
    </w:p>
    <w:p>
      <w:pPr>
        <w:pStyle w:val="Style5"/>
        <w:widowControl w:val="0"/>
        <w:keepNext w:val="0"/>
        <w:keepLines w:val="0"/>
        <w:shd w:val="clear" w:color="auto" w:fill="auto"/>
        <w:bidi w:val="0"/>
        <w:jc w:val="both"/>
        <w:spacing w:before="0" w:after="0" w:line="288" w:lineRule="exact"/>
        <w:ind w:left="20" w:right="20" w:firstLine="0"/>
      </w:pPr>
      <w:r>
        <w:rPr>
          <w:lang w:val="ru-RU" w:eastAsia="ru-RU" w:bidi="ru-RU"/>
          <w:w w:val="100"/>
          <w:spacing w:val="0"/>
          <w:color w:val="000000"/>
          <w:position w:val="0"/>
        </w:rPr>
        <w:t>о проведении такого аукциона, должна содержать требования к содержанию, составу заявки на участие в таком аукционе в соответствии с ч.3 - 6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силу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 1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Комиссией Управления установлено, что в технической части аукционной</w:t>
      </w:r>
    </w:p>
    <w:p>
      <w:pPr>
        <w:pStyle w:val="Style5"/>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документации Заказчиком установлены требования к поставляемому товару:</w:t>
      </w:r>
    </w:p>
    <w:p>
      <w:pPr>
        <w:pStyle w:val="Style5"/>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Материалы: Каркас изготовлен из нержавеющей трубы диаметром не менее 14 мм и стенкой не менее 1,5 мм и нержавеющей профильной трубы 25х25х1,5 мм; Полотнище изготовлено из белой пленки ПВХ; ПВХ заглушки на окончание труб: Соответствие;</w:t>
      </w:r>
    </w:p>
    <w:p>
      <w:pPr>
        <w:pStyle w:val="Style5"/>
        <w:widowControl w:val="0"/>
        <w:keepNext w:val="0"/>
        <w:keepLines w:val="0"/>
        <w:shd w:val="clear" w:color="auto" w:fill="auto"/>
        <w:bidi w:val="0"/>
        <w:jc w:val="both"/>
        <w:spacing w:before="0" w:after="0" w:line="317" w:lineRule="exact"/>
        <w:ind w:left="20" w:right="0" w:firstLine="740"/>
      </w:pPr>
      <w:r>
        <w:rPr>
          <w:lang w:val="ru-RU" w:eastAsia="ru-RU" w:bidi="ru-RU"/>
          <w:w w:val="100"/>
          <w:spacing w:val="0"/>
          <w:color w:val="000000"/>
          <w:position w:val="0"/>
        </w:rPr>
        <w:t>Масса, кг: не более 9;</w:t>
      </w:r>
    </w:p>
    <w:p>
      <w:pPr>
        <w:pStyle w:val="Style5"/>
        <w:widowControl w:val="0"/>
        <w:keepNext w:val="0"/>
        <w:keepLines w:val="0"/>
        <w:shd w:val="clear" w:color="auto" w:fill="auto"/>
        <w:bidi w:val="0"/>
        <w:jc w:val="both"/>
        <w:spacing w:before="0" w:after="0" w:line="317" w:lineRule="exact"/>
        <w:ind w:left="20" w:right="0" w:firstLine="740"/>
      </w:pPr>
      <w:r>
        <w:rPr>
          <w:lang w:val="ru-RU" w:eastAsia="ru-RU" w:bidi="ru-RU"/>
          <w:w w:val="100"/>
          <w:spacing w:val="0"/>
          <w:color w:val="000000"/>
          <w:position w:val="0"/>
        </w:rPr>
        <w:t>Комплектность:</w:t>
      </w:r>
    </w:p>
    <w:p>
      <w:pPr>
        <w:pStyle w:val="Style5"/>
        <w:widowControl w:val="0"/>
        <w:keepNext w:val="0"/>
        <w:keepLines w:val="0"/>
        <w:shd w:val="clear" w:color="auto" w:fill="auto"/>
        <w:bidi w:val="0"/>
        <w:jc w:val="both"/>
        <w:spacing w:before="0" w:after="0" w:line="317" w:lineRule="exact"/>
        <w:ind w:left="20" w:right="0" w:firstLine="740"/>
      </w:pPr>
      <w:r>
        <w:rPr>
          <w:lang w:val="ru-RU" w:eastAsia="ru-RU" w:bidi="ru-RU"/>
          <w:w w:val="100"/>
          <w:spacing w:val="0"/>
          <w:color w:val="000000"/>
          <w:position w:val="0"/>
        </w:rPr>
        <w:t>Стойка Т-образная - 2 шт.: Наличие;</w:t>
      </w:r>
    </w:p>
    <w:p>
      <w:pPr>
        <w:pStyle w:val="Style5"/>
        <w:widowControl w:val="0"/>
        <w:keepNext w:val="0"/>
        <w:keepLines w:val="0"/>
        <w:shd w:val="clear" w:color="auto" w:fill="auto"/>
        <w:bidi w:val="0"/>
        <w:jc w:val="both"/>
        <w:spacing w:before="0" w:after="0" w:line="317" w:lineRule="exact"/>
        <w:ind w:left="20" w:right="0" w:firstLine="740"/>
      </w:pPr>
      <w:r>
        <w:rPr>
          <w:lang w:val="ru-RU" w:eastAsia="ru-RU" w:bidi="ru-RU"/>
          <w:w w:val="100"/>
          <w:spacing w:val="0"/>
          <w:color w:val="000000"/>
          <w:position w:val="0"/>
        </w:rPr>
        <w:t>Стойка прямая - 2 шт.: Наличие;</w:t>
      </w:r>
    </w:p>
    <w:p>
      <w:pPr>
        <w:pStyle w:val="Style5"/>
        <w:widowControl w:val="0"/>
        <w:keepNext w:val="0"/>
        <w:keepLines w:val="0"/>
        <w:shd w:val="clear" w:color="auto" w:fill="auto"/>
        <w:bidi w:val="0"/>
        <w:jc w:val="both"/>
        <w:spacing w:before="0" w:after="0" w:line="317" w:lineRule="exact"/>
        <w:ind w:left="20" w:right="0" w:firstLine="740"/>
      </w:pPr>
      <w:r>
        <w:rPr>
          <w:lang w:val="ru-RU" w:eastAsia="ru-RU" w:bidi="ru-RU"/>
          <w:w w:val="100"/>
          <w:spacing w:val="0"/>
          <w:color w:val="000000"/>
          <w:position w:val="0"/>
        </w:rPr>
        <w:t>Поперечины - 4 шт.: Наличие;</w:t>
      </w:r>
    </w:p>
    <w:p>
      <w:pPr>
        <w:pStyle w:val="Style5"/>
        <w:widowControl w:val="0"/>
        <w:keepNext w:val="0"/>
        <w:keepLines w:val="0"/>
        <w:shd w:val="clear" w:color="auto" w:fill="auto"/>
        <w:bidi w:val="0"/>
        <w:jc w:val="both"/>
        <w:spacing w:before="0" w:after="0" w:line="317" w:lineRule="exact"/>
        <w:ind w:left="20" w:right="0" w:firstLine="740"/>
      </w:pPr>
      <w:r>
        <w:rPr>
          <w:lang w:val="ru-RU" w:eastAsia="ru-RU" w:bidi="ru-RU"/>
          <w:w w:val="100"/>
          <w:spacing w:val="0"/>
          <w:color w:val="000000"/>
          <w:position w:val="0"/>
        </w:rPr>
        <w:t>Колесные опоры - 6 шт.: Наличие;</w:t>
      </w:r>
    </w:p>
    <w:p>
      <w:pPr>
        <w:pStyle w:val="Style5"/>
        <w:widowControl w:val="0"/>
        <w:keepNext w:val="0"/>
        <w:keepLines w:val="0"/>
        <w:shd w:val="clear" w:color="auto" w:fill="auto"/>
        <w:bidi w:val="0"/>
        <w:jc w:val="both"/>
        <w:spacing w:before="0" w:after="0" w:line="317" w:lineRule="exact"/>
        <w:ind w:left="20" w:right="0" w:firstLine="740"/>
      </w:pPr>
      <w:r>
        <w:rPr>
          <w:lang w:val="ru-RU" w:eastAsia="ru-RU" w:bidi="ru-RU"/>
          <w:w w:val="100"/>
          <w:spacing w:val="0"/>
          <w:color w:val="000000"/>
          <w:position w:val="0"/>
        </w:rPr>
        <w:t>Коннекторы крепления секций - 4 шт.: Наличие.</w:t>
      </w:r>
    </w:p>
    <w:p>
      <w:pPr>
        <w:pStyle w:val="Style5"/>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должна содержать:</w:t>
      </w:r>
    </w:p>
    <w:p>
      <w:pPr>
        <w:pStyle w:val="Style5"/>
        <w:numPr>
          <w:ilvl w:val="0"/>
          <w:numId w:val="1"/>
        </w:numPr>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5"/>
        <w:numPr>
          <w:ilvl w:val="0"/>
          <w:numId w:val="1"/>
        </w:numPr>
        <w:widowControl w:val="0"/>
        <w:keepNext w:val="0"/>
        <w:keepLines w:val="0"/>
        <w:shd w:val="clear" w:color="auto" w:fill="auto"/>
        <w:bidi w:val="0"/>
        <w:jc w:val="both"/>
        <w:spacing w:before="0" w:after="0" w:line="293" w:lineRule="exact"/>
        <w:ind w:left="20" w:right="20" w:firstLine="74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5"/>
        <w:widowControl w:val="0"/>
        <w:keepNext w:val="0"/>
        <w:keepLines w:val="0"/>
        <w:shd w:val="clear" w:color="auto" w:fill="auto"/>
        <w:bidi w:val="0"/>
        <w:jc w:val="both"/>
        <w:spacing w:before="0" w:after="0" w:line="260" w:lineRule="exact"/>
        <w:ind w:left="20" w:right="0" w:firstLine="740"/>
      </w:pPr>
      <w:r>
        <w:rPr>
          <w:lang w:val="ru-RU" w:eastAsia="ru-RU" w:bidi="ru-RU"/>
          <w:w w:val="100"/>
          <w:spacing w:val="0"/>
          <w:color w:val="000000"/>
          <w:position w:val="0"/>
        </w:rPr>
        <w:t>а) наименование страны происхождения товара;</w:t>
      </w:r>
    </w:p>
    <w:p>
      <w:pPr>
        <w:pStyle w:val="Style5"/>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both"/>
        <w:spacing w:before="0" w:after="0" w:line="293" w:lineRule="exact"/>
        <w:ind w:left="20" w:right="20" w:firstLine="740"/>
      </w:pPr>
      <w:r>
        <w:rPr>
          <w:lang w:val="ru-RU" w:eastAsia="ru-RU" w:bidi="ru-RU"/>
          <w:w w:val="100"/>
          <w:spacing w:val="0"/>
          <w:color w:val="000000"/>
          <w:position w:val="0"/>
        </w:rPr>
        <w:t>Комиссией Управления установлено, что в первой части заявки Заявителя предложена ширма медицинская двухсекционная с каркасом из нержавеющей стали со следующими характеристиками:</w:t>
      </w:r>
    </w:p>
    <w:p>
      <w:pPr>
        <w:pStyle w:val="Style5"/>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Материалы: Каркас изготовлен из нержавеющей трубы диаметром не менее 14 мм и стенкой не менее 1,5 мм и нержавеющей профильной трубы 25х25х1,5 мм; Полотнище изготовлено из белой пленки ПВХ; ПВХ заглушки на окончание труб: Соответствие;</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Масса, кг: 8 кг;</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Комплектность:</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Стойка Т-образная - 2 шт.: Наличие;</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Стойка прямая - 2 шт.: Наличие;</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Поперечины - 4 шт.: Наличие;</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Колесные опоры - 6 шт.: Наличие;</w:t>
      </w:r>
    </w:p>
    <w:p>
      <w:pPr>
        <w:pStyle w:val="Style5"/>
        <w:widowControl w:val="0"/>
        <w:keepNext w:val="0"/>
        <w:keepLines w:val="0"/>
        <w:shd w:val="clear" w:color="auto" w:fill="auto"/>
        <w:bidi w:val="0"/>
        <w:jc w:val="both"/>
        <w:spacing w:before="0" w:after="0"/>
        <w:ind w:left="20" w:right="0" w:firstLine="740"/>
      </w:pPr>
      <w:r>
        <w:rPr>
          <w:lang w:val="ru-RU" w:eastAsia="ru-RU" w:bidi="ru-RU"/>
          <w:w w:val="100"/>
          <w:spacing w:val="0"/>
          <w:color w:val="000000"/>
          <w:position w:val="0"/>
        </w:rPr>
        <w:t>Коннекторы крепления секций - 4 шт.: Наличие.</w:t>
      </w:r>
    </w:p>
    <w:p>
      <w:pPr>
        <w:pStyle w:val="Style5"/>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w:t>
      </w:r>
    </w:p>
    <w:p>
      <w:pPr>
        <w:pStyle w:val="Style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На заседании Комиссии Управления представитель Заявителя пояснил, что в составе второй части заявки представлено регистрационное удостоверение от 03.02.2012 № ФСР 2010/09569 на медицинское изделие «Ширмы медицинские ШМ - «МСК» по ТУ 9452-003-52962725-01» производства ООО «Медстальконструкия», Россия, а также копия паспорта на медицинское изделие, из которых следует, что к поставке предлагается ширма ШИ МСК-2302. В тоже время каркас ширмы ШМ МСК-2302 изготовлен из стальных труб круглого сечения с защитно-декоративным покрытием эпоксидной порошковой краской, то есть каркас данной ширмы выполнен не из нержавеющей стали, как требуется в аукционной документации.</w:t>
      </w:r>
    </w:p>
    <w:p>
      <w:pPr>
        <w:pStyle w:val="Style5"/>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Кроме того комплектация предлагаемой </w:t>
      </w:r>
      <w:r>
        <w:rPr>
          <w:rStyle w:val="CharStyle9"/>
        </w:rPr>
        <w:t>ши</w:t>
      </w:r>
      <w:r>
        <w:rPr>
          <w:lang w:val="ru-RU" w:eastAsia="ru-RU" w:bidi="ru-RU"/>
          <w:w w:val="100"/>
          <w:spacing w:val="0"/>
          <w:color w:val="000000"/>
          <w:position w:val="0"/>
        </w:rPr>
        <w:t>рмы включает в себя:</w:t>
      </w:r>
    </w:p>
    <w:p>
      <w:pPr>
        <w:pStyle w:val="Style5"/>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Экран;</w:t>
      </w:r>
    </w:p>
    <w:p>
      <w:pPr>
        <w:pStyle w:val="Style5"/>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Стяжка;</w:t>
      </w:r>
    </w:p>
    <w:p>
      <w:pPr>
        <w:pStyle w:val="Style5"/>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Стойка одинарная;</w:t>
      </w:r>
    </w:p>
    <w:p>
      <w:pPr>
        <w:pStyle w:val="Style5"/>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Стойка двойная;</w:t>
      </w:r>
    </w:p>
    <w:p>
      <w:pPr>
        <w:pStyle w:val="Style5"/>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Колесо;</w:t>
      </w:r>
    </w:p>
    <w:p>
      <w:pPr>
        <w:pStyle w:val="Style5"/>
        <w:numPr>
          <w:ilvl w:val="0"/>
          <w:numId w:val="3"/>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Колодка ПВХ соединительная.</w:t>
      </w:r>
    </w:p>
    <w:p>
      <w:pPr>
        <w:pStyle w:val="Style5"/>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Таким образом, по мнению Заявителя, им предложено медицинское изделие, не соответствующее требованиям аукционной документации</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Согласно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На заседании Комиссии Управления представители Заказчика пояснили, что при рассмотрении заявки Заявителя у аукционной комиссии Заказчика отсутствовали правовые основания для признания данной заявки не соответствующей требованиям аукционной документации.</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Так, приложенный в составе второй части заявки файл «паспорт» не является в рамках Федерального закона от 21.11.2011 № 323-ФЗ «Об основах охраны здоровья граждан в Российской Федерации» и положений аукционной документации документом, подтверждающим соответствие закупаемого медицинского изделия требованиям законодательства, в связи с чем данный документ Заказчиком не учитывался и к рассмотрению было принято регистрационное удостоверение от 03.02.2012 № ФСР 2010/09569.</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Также представители Заказчика пояснили, что Заказчику в ответ на запрос получено информационное письмо от производителя товара исх. №2710-6 от 27.10.2021, которым подтверждается соответствие требованиям документации ширмы медицинской из нержавеющей стали, на колесах, двухсекционной ШМ- «МСК»(МСК-25302) по ТУ9452-003-52962725-01.</w:t>
      </w:r>
    </w:p>
    <w:p>
      <w:pPr>
        <w:pStyle w:val="Style5"/>
        <w:widowControl w:val="0"/>
        <w:keepNext w:val="0"/>
        <w:keepLines w:val="0"/>
        <w:shd w:val="clear" w:color="auto" w:fill="auto"/>
        <w:bidi w:val="0"/>
        <w:jc w:val="both"/>
        <w:spacing w:before="0" w:after="0" w:line="288" w:lineRule="exact"/>
        <w:ind w:left="20" w:right="20" w:firstLine="720"/>
      </w:pPr>
      <w:r>
        <w:rPr>
          <w:lang w:val="ru-RU" w:eastAsia="ru-RU" w:bidi="ru-RU"/>
          <w:w w:val="100"/>
          <w:spacing w:val="0"/>
          <w:color w:val="000000"/>
          <w:position w:val="0"/>
        </w:rPr>
        <w:t>Комиссия Управления отмечает, что с учетом того, что первая часть заявки Заявителя не содержит указания на конкретную модель предлагаемого медицинского изделия невозможно определить относится ли представленный в составе заявки паспорт, содержащий указание на пять разных моделей, к предлагаемому медицинскому изделию. При этом Заявителем представлено регистрационное удостоверение содержащее указание на несколько моделей медицинского изделия, среди которых наличествует МСК-25302, которая согласно информации ООО «Медстальконструкия» соответствует требованиям технического задания.</w:t>
      </w:r>
    </w:p>
    <w:p>
      <w:pPr>
        <w:pStyle w:val="Style5"/>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Оснований полагать, что в первой части заявки предложено иное медицинское изделие, в частности МСК-2302, с учетом продекларированных значений показателей характеристик товара и представленного регистрационного удостоверения, содержащего указание на несколько моделей, в том числе на модель МСК-25302, у аукционной комиссии Заказчика не имелось.</w:t>
      </w:r>
    </w:p>
    <w:p>
      <w:pPr>
        <w:pStyle w:val="Style5"/>
        <w:widowControl w:val="0"/>
        <w:keepNext w:val="0"/>
        <w:keepLines w:val="0"/>
        <w:shd w:val="clear" w:color="auto" w:fill="auto"/>
        <w:bidi w:val="0"/>
        <w:jc w:val="both"/>
        <w:spacing w:before="0" w:after="0" w:line="293" w:lineRule="exact"/>
        <w:ind w:left="20" w:right="20" w:firstLine="740"/>
      </w:pPr>
      <w:r>
        <w:rPr>
          <w:lang w:val="ru-RU" w:eastAsia="ru-RU" w:bidi="ru-RU"/>
          <w:w w:val="100"/>
          <w:spacing w:val="0"/>
          <w:color w:val="000000"/>
          <w:position w:val="0"/>
        </w:rPr>
        <w:t>В соответствии с ч. 6 ст. 69 Закона о контрактной системе, Заявка на участие в электронном аукционе признается несоответствующей требованиям, установленным документацией о таком аукционе, в случае:</w:t>
      </w:r>
    </w:p>
    <w:p>
      <w:pPr>
        <w:pStyle w:val="Style5"/>
        <w:numPr>
          <w:ilvl w:val="0"/>
          <w:numId w:val="5"/>
        </w:numPr>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5"/>
        </w:numPr>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numPr>
          <w:ilvl w:val="0"/>
          <w:numId w:val="5"/>
        </w:numPr>
        <w:widowControl w:val="0"/>
        <w:keepNext w:val="0"/>
        <w:keepLines w:val="0"/>
        <w:shd w:val="clear" w:color="auto" w:fill="auto"/>
        <w:bidi w:val="0"/>
        <w:jc w:val="both"/>
        <w:spacing w:before="0" w:after="0" w:line="288" w:lineRule="exact"/>
        <w:ind w:left="20" w:right="20" w:firstLine="740"/>
      </w:pPr>
      <w:r>
        <w:rPr>
          <w:lang w:val="ru-RU" w:eastAsia="ru-RU" w:bidi="ru-RU"/>
          <w:w w:val="100"/>
          <w:spacing w:val="0"/>
          <w:color w:val="000000"/>
          <w:position w:val="0"/>
        </w:rPr>
        <w:t xml:space="preserve"> предусмотренном нормативными правовыми актами, принятыми в соответствии со статьей 14 Закона о контрактной системе.</w:t>
      </w:r>
    </w:p>
    <w:p>
      <w:pPr>
        <w:pStyle w:val="Style5"/>
        <w:widowControl w:val="0"/>
        <w:keepNext w:val="0"/>
        <w:keepLines w:val="0"/>
        <w:shd w:val="clear" w:color="auto" w:fill="auto"/>
        <w:bidi w:val="0"/>
        <w:jc w:val="both"/>
        <w:spacing w:before="0" w:after="0" w:line="293" w:lineRule="exact"/>
        <w:ind w:left="20" w:right="20" w:firstLine="740"/>
      </w:pPr>
      <w:r>
        <w:rPr>
          <w:lang w:val="ru-RU" w:eastAsia="ru-RU" w:bidi="ru-RU"/>
          <w:w w:val="100"/>
          <w:spacing w:val="0"/>
          <w:color w:val="000000"/>
          <w:position w:val="0"/>
        </w:rPr>
        <w:t>Таким образом, Комиссия Управления приходит к выводу, у аукционной комиссии Заказчика отсутствовали основания для признания заявки ИП Хачиров Темирлан Юсуфович несоответствующей.</w:t>
      </w:r>
    </w:p>
    <w:p>
      <w:pPr>
        <w:pStyle w:val="Style5"/>
        <w:widowControl w:val="0"/>
        <w:keepNext w:val="0"/>
        <w:keepLines w:val="0"/>
        <w:shd w:val="clear" w:color="auto" w:fill="auto"/>
        <w:bidi w:val="0"/>
        <w:jc w:val="both"/>
        <w:spacing w:before="0" w:after="349"/>
        <w:ind w:left="20" w:right="20" w:firstLine="74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 727/14, Законом о контрактной системе, Комиссия Управления</w:t>
      </w:r>
    </w:p>
    <w:p>
      <w:pPr>
        <w:pStyle w:val="Style10"/>
        <w:widowControl w:val="0"/>
        <w:keepNext/>
        <w:keepLines/>
        <w:shd w:val="clear" w:color="auto" w:fill="auto"/>
        <w:bidi w:val="0"/>
        <w:jc w:val="left"/>
        <w:spacing w:before="0" w:after="308" w:line="260" w:lineRule="exact"/>
        <w:ind w:left="4460" w:right="0" w:firstLine="0"/>
      </w:pPr>
      <w:bookmarkStart w:id="1" w:name="bookmark1"/>
      <w:r>
        <w:rPr>
          <w:lang w:val="ru-RU" w:eastAsia="ru-RU" w:bidi="ru-RU"/>
          <w:w w:val="100"/>
          <w:spacing w:val="0"/>
          <w:color w:val="000000"/>
          <w:position w:val="0"/>
        </w:rPr>
        <w:t>Р Е Ш И Л А:</w:t>
      </w:r>
      <w:bookmarkEnd w:id="1"/>
    </w:p>
    <w:p>
      <w:pPr>
        <w:pStyle w:val="Style5"/>
        <w:numPr>
          <w:ilvl w:val="0"/>
          <w:numId w:val="7"/>
        </w:numPr>
        <w:widowControl w:val="0"/>
        <w:keepNext w:val="0"/>
        <w:keepLines w:val="0"/>
        <w:shd w:val="clear" w:color="auto" w:fill="auto"/>
        <w:bidi w:val="0"/>
        <w:jc w:val="both"/>
        <w:spacing w:before="0" w:after="0"/>
        <w:ind w:left="20" w:right="20" w:firstLine="740"/>
      </w:pPr>
      <w:r>
        <w:rPr>
          <w:lang w:val="ru-RU" w:eastAsia="ru-RU" w:bidi="ru-RU"/>
          <w:w w:val="100"/>
          <w:spacing w:val="0"/>
          <w:color w:val="000000"/>
          <w:position w:val="0"/>
        </w:rPr>
        <w:t xml:space="preserve"> Признать жалобу ИП Хачиров Темирлан Юсуфович на действия ГБУЗ «ДГП № 143 ДЗМ» необоснованной.</w:t>
      </w:r>
    </w:p>
    <w:p>
      <w:pPr>
        <w:pStyle w:val="Style5"/>
        <w:numPr>
          <w:ilvl w:val="0"/>
          <w:numId w:val="7"/>
        </w:numPr>
        <w:widowControl w:val="0"/>
        <w:keepNext w:val="0"/>
        <w:keepLines w:val="0"/>
        <w:shd w:val="clear" w:color="auto" w:fill="auto"/>
        <w:bidi w:val="0"/>
        <w:jc w:val="both"/>
        <w:spacing w:before="0" w:after="300"/>
        <w:ind w:left="20" w:right="20" w:firstLine="740"/>
      </w:pPr>
      <w:r>
        <w:rPr>
          <w:lang w:val="ru-RU" w:eastAsia="ru-RU" w:bidi="ru-RU"/>
          <w:w w:val="100"/>
          <w:spacing w:val="0"/>
          <w:color w:val="000000"/>
          <w:position w:val="0"/>
        </w:rPr>
        <w:t xml:space="preserve"> Снять ограничения, наложенные на определение поставщика (подрядчика, исполнителя) письмом Московского УФАС России (исх. № ЕИ/65701/21 от 26.10.2021).</w:t>
      </w:r>
    </w:p>
    <w:p>
      <w:pPr>
        <w:pStyle w:val="Style5"/>
        <w:widowControl w:val="0"/>
        <w:keepNext w:val="0"/>
        <w:keepLines w:val="0"/>
        <w:shd w:val="clear" w:color="auto" w:fill="auto"/>
        <w:bidi w:val="0"/>
        <w:jc w:val="both"/>
        <w:spacing w:before="0" w:after="47"/>
        <w:ind w:left="20" w:right="20" w:firstLine="74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5"/>
        <w:tabs>
          <w:tab w:leader="none" w:pos="8972" w:val="right"/>
          <w:tab w:leader="none" w:pos="10203"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Председатель Комиссии</w:t>
        <w:tab/>
        <w:t>Л.Н.</w:t>
        <w:tab/>
        <w:t>Харченко</w:t>
      </w:r>
    </w:p>
    <w:p>
      <w:pPr>
        <w:pStyle w:val="Style5"/>
        <w:tabs>
          <w:tab w:leader="none" w:pos="10203" w:val="right"/>
          <w:tab w:leader="none" w:pos="10196" w:val="right"/>
        </w:tabs>
        <w:widowControl w:val="0"/>
        <w:keepNext w:val="0"/>
        <w:keepLines w:val="0"/>
        <w:shd w:val="clear" w:color="auto" w:fill="auto"/>
        <w:bidi w:val="0"/>
        <w:jc w:val="both"/>
        <w:spacing w:before="0" w:after="0" w:line="638" w:lineRule="exact"/>
        <w:ind w:left="20" w:right="0" w:firstLine="0"/>
      </w:pPr>
      <w:r>
        <w:rPr>
          <w:lang w:val="ru-RU" w:eastAsia="ru-RU" w:bidi="ru-RU"/>
          <w:w w:val="100"/>
          <w:spacing w:val="0"/>
          <w:color w:val="000000"/>
          <w:position w:val="0"/>
        </w:rPr>
        <w:t>Члены Комиссии</w:t>
        <w:tab/>
        <w:t>А.З.</w:t>
        <w:tab/>
        <w:t>Касимова</w:t>
      </w:r>
    </w:p>
    <w:p>
      <w:pPr>
        <w:pStyle w:val="Style5"/>
        <w:widowControl w:val="0"/>
        <w:keepNext w:val="0"/>
        <w:keepLines w:val="0"/>
        <w:shd w:val="clear" w:color="auto" w:fill="auto"/>
        <w:bidi w:val="0"/>
        <w:jc w:val="right"/>
        <w:spacing w:before="0" w:after="0" w:line="638" w:lineRule="exact"/>
        <w:ind w:left="0" w:right="20" w:firstLine="0"/>
      </w:pPr>
      <w:r>
        <w:rPr>
          <w:lang w:val="ru-RU" w:eastAsia="ru-RU" w:bidi="ru-RU"/>
          <w:w w:val="100"/>
          <w:spacing w:val="0"/>
          <w:color w:val="000000"/>
          <w:position w:val="0"/>
        </w:rPr>
        <w:t>А.А. Кутейников</w:t>
      </w:r>
    </w:p>
    <w:p>
      <w:pPr>
        <w:pStyle w:val="Style12"/>
        <w:widowControl w:val="0"/>
        <w:keepNext w:val="0"/>
        <w:keepLines w:val="0"/>
        <w:shd w:val="clear" w:color="auto" w:fill="auto"/>
        <w:bidi w:val="0"/>
        <w:spacing w:before="0" w:after="0" w:line="200" w:lineRule="exact"/>
        <w:ind w:left="20" w:right="0" w:firstLine="0"/>
      </w:pPr>
      <w:r>
        <w:rPr>
          <w:lang w:val="ru-RU" w:eastAsia="ru-RU" w:bidi="ru-RU"/>
          <w:w w:val="100"/>
          <w:spacing w:val="0"/>
          <w:color w:val="000000"/>
          <w:position w:val="0"/>
        </w:rPr>
        <w:t>Исп.Кутейников А.А. тел.8(495)784-75-05</w:t>
      </w:r>
    </w:p>
    <w:sectPr>
      <w:footnotePr>
        <w:pos w:val="pageBottom"/>
        <w:numFmt w:val="decimal"/>
        <w:numRestart w:val="continuous"/>
      </w:footnotePr>
      <w:type w:val="continuous"/>
      <w:pgSz w:w="11906" w:h="16838"/>
      <w:pgMar w:top="1113"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Заголовок №2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2)_"/>
    <w:basedOn w:val="DefaultParagraphFont"/>
    <w:link w:val="Style12"/>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Заголовок №2"/>
    <w:basedOn w:val="Normal"/>
    <w:link w:val="CharStyle8"/>
    <w:pPr>
      <w:widowControl w:val="0"/>
      <w:shd w:val="clear" w:color="auto" w:fill="FFFFFF"/>
      <w:outlineLvl w:val="1"/>
      <w:spacing w:before="30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2)"/>
    <w:basedOn w:val="Normal"/>
    <w:link w:val="CharStyle13"/>
    <w:pPr>
      <w:widowControl w:val="0"/>
      <w:shd w:val="clear" w:color="auto" w:fill="FFFFFF"/>
      <w:jc w:val="both"/>
      <w:spacing w:line="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