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6"/>
        <w:widowControl w:val="0"/>
        <w:keepNext w:val="0"/>
        <w:keepLines w:val="0"/>
        <w:shd w:val="clear" w:color="auto" w:fill="auto"/>
        <w:bidi w:val="0"/>
        <w:jc w:val="left"/>
        <w:spacing w:before="0" w:after="0"/>
        <w:ind w:left="4880" w:right="0" w:firstLine="0"/>
      </w:pPr>
      <w:r>
        <w:rPr>
          <w:lang w:val="ru-RU" w:eastAsia="ru-RU" w:bidi="ru-RU"/>
          <w:sz w:val="24"/>
          <w:szCs w:val="24"/>
          <w:w w:val="100"/>
          <w:spacing w:val="0"/>
          <w:color w:val="000000"/>
          <w:position w:val="0"/>
        </w:rPr>
        <w:t>ООО «Аванта-Трейд»</w:t>
      </w:r>
    </w:p>
    <w:p>
      <w:pPr>
        <w:pStyle w:val="Style6"/>
        <w:widowControl w:val="0"/>
        <w:keepNext w:val="0"/>
        <w:keepLines w:val="0"/>
        <w:shd w:val="clear" w:color="auto" w:fill="auto"/>
        <w:bidi w:val="0"/>
        <w:jc w:val="both"/>
        <w:spacing w:before="0" w:after="0"/>
        <w:ind w:left="0" w:right="0" w:firstLine="0"/>
      </w:pPr>
      <w:r>
        <w:rPr>
          <w:lang w:val="ru-RU" w:eastAsia="ru-RU" w:bidi="ru-RU"/>
          <w:sz w:val="24"/>
          <w:szCs w:val="24"/>
          <w:w w:val="100"/>
          <w:spacing w:val="0"/>
          <w:color w:val="000000"/>
          <w:position w:val="0"/>
        </w:rPr>
        <w:t>(далее - Заявитель)</w:t>
      </w:r>
    </w:p>
    <w:p>
      <w:pPr>
        <w:pStyle w:val="Style3"/>
        <w:framePr w:w="3628" w:h="446" w:vSpace="222" w:wrap="around" w:vAnchor="text" w:hAnchor="margin" w:x="557" w:y="71"/>
        <w:widowControl w:val="0"/>
        <w:keepNext w:val="0"/>
        <w:keepLines w:val="0"/>
        <w:shd w:val="clear" w:color="auto" w:fill="auto"/>
        <w:bidi w:val="0"/>
        <w:spacing w:before="0" w:after="0"/>
        <w:ind w:left="0" w:right="0" w:firstLine="0"/>
      </w:pPr>
      <w:r>
        <w:rPr>
          <w:rStyle w:val="CharStyle5"/>
          <w:b/>
          <w:bCs/>
          <w:spacing w:val="0"/>
        </w:rPr>
        <w:t>ФЕДЕРАЛЬНАЯ АНТИМОНОПОЛЬНАЯ СЛУЖБА</w:t>
      </w:r>
    </w:p>
    <w:p>
      <w:pPr>
        <w:pStyle w:val="Style8"/>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ул. Звездинка, д.20Б, офис 9, г. Нижний Новгород,</w:t>
      </w:r>
    </w:p>
    <w:p>
      <w:pPr>
        <w:pStyle w:val="Style8"/>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603000</w:t>
      </w:r>
    </w:p>
    <w:p>
      <w:pPr>
        <w:pStyle w:val="Style10"/>
        <w:widowControl w:val="0"/>
        <w:keepNext w:val="0"/>
        <w:keepLines w:val="0"/>
        <w:shd w:val="clear" w:color="auto" w:fill="auto"/>
        <w:bidi w:val="0"/>
        <w:jc w:val="left"/>
        <w:spacing w:before="0" w:after="0" w:line="230" w:lineRule="exact"/>
        <w:ind w:left="1480" w:right="0" w:firstLine="0"/>
      </w:pPr>
      <w:r>
        <w:rPr>
          <w:rStyle w:val="CharStyle12"/>
          <w:b/>
          <w:bCs/>
        </w:rPr>
        <w:t>УПРАВЛЕНИЕ</w:t>
      </w:r>
    </w:p>
    <w:p>
      <w:pPr>
        <w:pStyle w:val="Style8"/>
        <w:widowControl w:val="0"/>
        <w:keepNext w:val="0"/>
        <w:keepLines w:val="0"/>
        <w:shd w:val="clear" w:color="auto" w:fill="auto"/>
        <w:bidi w:val="0"/>
        <w:spacing w:before="0" w:after="0" w:line="240" w:lineRule="exact"/>
        <w:ind w:left="0" w:right="0" w:firstLine="0"/>
        <w:sectPr>
          <w:footnotePr>
            <w:pos w:val="pageBottom"/>
            <w:numFmt w:val="decimal"/>
            <w:numRestart w:val="continuous"/>
          </w:footnotePr>
          <w:type w:val="continuous"/>
          <w:pgSz w:w="11906" w:h="16838"/>
          <w:pgMar w:top="64" w:left="774" w:right="1415" w:bottom="86" w:header="0" w:footer="3" w:gutter="0"/>
          <w:rtlGutter w:val="0"/>
          <w:cols w:space="720"/>
          <w:noEndnote/>
          <w:docGrid w:linePitch="360"/>
        </w:sectPr>
      </w:pPr>
      <w:r>
        <w:rPr>
          <w:rStyle w:val="CharStyle13"/>
        </w:rPr>
        <w:t xml:space="preserve">Федеральной антимонопольной службы </w:t>
      </w:r>
      <w:r>
        <w:rPr>
          <w:lang w:val="en-US" w:eastAsia="en-US" w:bidi="en-US"/>
          <w:sz w:val="24"/>
          <w:szCs w:val="24"/>
          <w:w w:val="100"/>
          <w:spacing w:val="0"/>
          <w:color w:val="000000"/>
          <w:position w:val="0"/>
        </w:rPr>
        <w:t xml:space="preserve">E-mail: </w:t>
      </w:r>
      <w:r>
        <w:fldChar w:fldCharType="begin"/>
      </w:r>
      <w:r>
        <w:rPr>
          <w:rStyle w:val="CharStyle14"/>
        </w:rPr>
        <w:instrText> HYPERLINK "mailto:tenderavanta@mail.ru" </w:instrText>
      </w:r>
      <w:r>
        <w:fldChar w:fldCharType="separate"/>
      </w:r>
      <w:r>
        <w:rPr>
          <w:rStyle w:val="Hyperlink"/>
        </w:rPr>
        <w:t>tenderavanta@mail.ru</w:t>
      </w:r>
      <w:r>
        <w:fldChar w:fldCharType="end"/>
      </w:r>
    </w:p>
    <w:p>
      <w:pPr>
        <w:pStyle w:val="Style10"/>
        <w:framePr w:h="219" w:wrap="around" w:vAnchor="text" w:hAnchor="margin" w:x="-3801" w:y="16"/>
        <w:widowControl w:val="0"/>
        <w:keepNext w:val="0"/>
        <w:keepLines w:val="0"/>
        <w:shd w:val="clear" w:color="auto" w:fill="auto"/>
        <w:bidi w:val="0"/>
        <w:jc w:val="left"/>
        <w:spacing w:before="0" w:after="0" w:line="220" w:lineRule="exact"/>
        <w:ind w:left="0" w:right="0" w:firstLine="0"/>
      </w:pPr>
      <w:r>
        <w:rPr>
          <w:rStyle w:val="CharStyle16"/>
          <w:b/>
          <w:bCs/>
          <w:spacing w:val="0"/>
        </w:rPr>
        <w:t>по Ростовской области</w:t>
      </w:r>
    </w:p>
    <w:p>
      <w:pPr>
        <w:pStyle w:val="Style8"/>
        <w:widowControl w:val="0"/>
        <w:keepNext w:val="0"/>
        <w:keepLines w:val="0"/>
        <w:shd w:val="clear" w:color="auto" w:fill="auto"/>
        <w:bidi w:val="0"/>
        <w:jc w:val="left"/>
        <w:spacing w:before="0" w:after="246" w:line="317" w:lineRule="exact"/>
        <w:ind w:left="20" w:right="2260" w:firstLine="0"/>
      </w:pPr>
      <w:r>
        <w:rPr>
          <w:lang w:val="ru-RU" w:eastAsia="ru-RU" w:bidi="ru-RU"/>
          <w:sz w:val="24"/>
          <w:szCs w:val="24"/>
          <w:w w:val="100"/>
          <w:spacing w:val="0"/>
          <w:color w:val="000000"/>
          <w:position w:val="0"/>
        </w:rPr>
        <w:t>Телефон: 8-904-923-36-36 ИНН: 7708298387</w:t>
      </w:r>
    </w:p>
    <w:p>
      <w:pPr>
        <w:pStyle w:val="Style6"/>
        <w:widowControl w:val="0"/>
        <w:keepNext w:val="0"/>
        <w:keepLines w:val="0"/>
        <w:shd w:val="clear" w:color="auto" w:fill="auto"/>
        <w:bidi w:val="0"/>
        <w:jc w:val="left"/>
        <w:spacing w:before="0" w:after="0"/>
        <w:ind w:left="20" w:right="240" w:firstLine="0"/>
      </w:pPr>
      <w:r>
        <w:rPr>
          <w:lang w:val="ru-RU" w:eastAsia="ru-RU" w:bidi="ru-RU"/>
          <w:sz w:val="24"/>
          <w:szCs w:val="24"/>
          <w:w w:val="100"/>
          <w:spacing w:val="0"/>
          <w:color w:val="000000"/>
          <w:position w:val="0"/>
        </w:rPr>
        <w:t>ГОСУДАРСТВЕННОЕ БЮДЖЕТНОЕ УЧРЕЖДЕНИЕ РОСТОВСКОЙ ОБЛАСТИ «ОНКОЛОГИЧЕСКИЙ ДИСПАНСЕР» В Г. ТАГАНРОГЕ (далее - Заказчик)</w:t>
      </w:r>
    </w:p>
    <w:p>
      <w:pPr>
        <w:pStyle w:val="Style8"/>
        <w:widowControl w:val="0"/>
        <w:keepNext w:val="0"/>
        <w:keepLines w:val="0"/>
        <w:shd w:val="clear" w:color="auto" w:fill="auto"/>
        <w:bidi w:val="0"/>
        <w:jc w:val="left"/>
        <w:spacing w:before="0" w:after="0" w:line="306" w:lineRule="exact"/>
        <w:ind w:left="20" w:right="240" w:firstLine="0"/>
      </w:pPr>
      <w:r>
        <w:rPr>
          <w:lang w:val="ru-RU" w:eastAsia="ru-RU" w:bidi="ru-RU"/>
          <w:sz w:val="24"/>
          <w:szCs w:val="24"/>
          <w:w w:val="100"/>
          <w:spacing w:val="0"/>
          <w:color w:val="000000"/>
          <w:position w:val="0"/>
        </w:rPr>
        <w:t>ул. Московская, 17, г. Таганрог, Ростовская обл.,</w:t>
      </w:r>
    </w:p>
    <w:p>
      <w:pPr>
        <w:pStyle w:val="Style8"/>
        <w:widowControl w:val="0"/>
        <w:keepNext w:val="0"/>
        <w:keepLines w:val="0"/>
        <w:shd w:val="clear" w:color="auto" w:fill="auto"/>
        <w:bidi w:val="0"/>
        <w:jc w:val="left"/>
        <w:spacing w:before="0" w:after="0" w:line="306" w:lineRule="exact"/>
        <w:ind w:left="20" w:right="0" w:firstLine="0"/>
      </w:pPr>
      <w:r>
        <w:rPr>
          <w:lang w:val="ru-RU" w:eastAsia="ru-RU" w:bidi="ru-RU"/>
          <w:sz w:val="24"/>
          <w:szCs w:val="24"/>
          <w:w w:val="100"/>
          <w:spacing w:val="0"/>
          <w:color w:val="000000"/>
          <w:position w:val="0"/>
        </w:rPr>
        <w:t>347910</w:t>
      </w:r>
    </w:p>
    <w:p>
      <w:pPr>
        <w:pStyle w:val="Style8"/>
        <w:widowControl w:val="0"/>
        <w:keepNext w:val="0"/>
        <w:keepLines w:val="0"/>
        <w:shd w:val="clear" w:color="auto" w:fill="auto"/>
        <w:bidi w:val="0"/>
        <w:jc w:val="left"/>
        <w:spacing w:before="0" w:after="0" w:line="306" w:lineRule="exact"/>
        <w:ind w:left="20" w:right="240" w:firstLine="0"/>
        <w:sectPr>
          <w:type w:val="continuous"/>
          <w:pgSz w:w="11906" w:h="16838"/>
          <w:pgMar w:top="64" w:left="5612" w:right="1004" w:bottom="86" w:header="0" w:footer="3" w:gutter="0"/>
          <w:rtlGutter w:val="0"/>
          <w:cols w:space="720"/>
          <w:noEndnote/>
          <w:docGrid w:linePitch="360"/>
        </w:sectPr>
      </w:pPr>
      <w:r>
        <w:rPr>
          <w:lang w:val="en-US" w:eastAsia="en-US" w:bidi="en-US"/>
          <w:sz w:val="24"/>
          <w:szCs w:val="24"/>
          <w:w w:val="100"/>
          <w:spacing w:val="0"/>
          <w:color w:val="000000"/>
          <w:position w:val="0"/>
        </w:rPr>
        <w:t xml:space="preserve">E-mail: </w:t>
      </w:r>
      <w:r>
        <w:fldChar w:fldCharType="begin"/>
      </w:r>
      <w:r>
        <w:rPr>
          <w:rStyle w:val="CharStyle14"/>
        </w:rPr>
        <w:instrText> HYPERLINK "mailto:tagonko@yandex.ru" </w:instrText>
      </w:r>
      <w:r>
        <w:fldChar w:fldCharType="separate"/>
      </w:r>
      <w:r>
        <w:rPr>
          <w:rStyle w:val="Hyperlink"/>
        </w:rPr>
        <w:t>tagonko@yandex.ru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Телефон: 7-8634-382579 ИНН: 6154035685</w:t>
      </w:r>
    </w:p>
    <w:p>
      <w:pPr>
        <w:widowControl w:val="0"/>
        <w:spacing w:before="67" w:after="6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11" w:line="240" w:lineRule="exact"/>
        <w:ind w:left="4720" w:right="0" w:firstLine="0"/>
      </w:pPr>
      <w:r>
        <w:rPr>
          <w:lang w:val="ru-RU" w:eastAsia="ru-RU" w:bidi="ru-RU"/>
          <w:sz w:val="24"/>
          <w:szCs w:val="24"/>
          <w:w w:val="100"/>
          <w:spacing w:val="0"/>
          <w:color w:val="000000"/>
          <w:position w:val="0"/>
        </w:rPr>
        <w:t>ООО «РТС-тендер»</w:t>
      </w:r>
    </w:p>
    <w:p>
      <w:pPr>
        <w:pStyle w:val="Style6"/>
        <w:widowControl w:val="0"/>
        <w:keepNext w:val="0"/>
        <w:keepLines w:val="0"/>
        <w:shd w:val="clear" w:color="auto" w:fill="auto"/>
        <w:bidi w:val="0"/>
        <w:jc w:val="left"/>
        <w:spacing w:before="0" w:after="14" w:line="240" w:lineRule="exact"/>
        <w:ind w:left="4720" w:right="0" w:firstLine="0"/>
      </w:pPr>
      <w:r>
        <w:rPr>
          <w:lang w:val="ru-RU" w:eastAsia="ru-RU" w:bidi="ru-RU"/>
          <w:sz w:val="24"/>
          <w:szCs w:val="24"/>
          <w:w w:val="100"/>
          <w:spacing w:val="0"/>
          <w:color w:val="000000"/>
          <w:position w:val="0"/>
        </w:rPr>
        <w:t>(далее - Оператор электронной площадки)</w:t>
      </w:r>
    </w:p>
    <w:p>
      <w:pPr>
        <w:pStyle w:val="Style8"/>
        <w:widowControl w:val="0"/>
        <w:keepNext w:val="0"/>
        <w:keepLines w:val="0"/>
        <w:shd w:val="clear" w:color="auto" w:fill="auto"/>
        <w:bidi w:val="0"/>
        <w:jc w:val="left"/>
        <w:spacing w:before="0" w:after="1147" w:line="240" w:lineRule="exact"/>
        <w:ind w:left="4720" w:right="0" w:firstLine="0"/>
      </w:pPr>
      <w:r>
        <w:rPr>
          <w:lang w:val="en-US" w:eastAsia="en-US" w:bidi="en-US"/>
          <w:sz w:val="24"/>
          <w:szCs w:val="24"/>
          <w:w w:val="100"/>
          <w:spacing w:val="0"/>
          <w:color w:val="000000"/>
          <w:position w:val="0"/>
        </w:rPr>
        <w:t xml:space="preserve">E-mail: </w:t>
      </w:r>
      <w:r>
        <w:fldChar w:fldCharType="begin"/>
      </w:r>
      <w:r>
        <w:rPr>
          <w:rStyle w:val="CharStyle14"/>
        </w:rPr>
        <w:instrText> HYPERLINK "mailto:ko@rts-tender.ru" </w:instrText>
      </w:r>
      <w:r>
        <w:fldChar w:fldCharType="separate"/>
      </w:r>
      <w:r>
        <w:rPr>
          <w:rStyle w:val="Hyperlink"/>
        </w:rPr>
        <w:t>ko@rts-tender.ru</w:t>
      </w:r>
      <w:r>
        <w:fldChar w:fldCharType="end"/>
      </w:r>
    </w:p>
    <w:p>
      <w:pPr>
        <w:pStyle w:val="Style6"/>
        <w:widowControl w:val="0"/>
        <w:keepNext w:val="0"/>
        <w:keepLines w:val="0"/>
        <w:shd w:val="clear" w:color="auto" w:fill="auto"/>
        <w:bidi w:val="0"/>
        <w:jc w:val="center"/>
        <w:spacing w:before="0" w:after="618" w:line="240" w:lineRule="exact"/>
        <w:ind w:left="0" w:right="0" w:firstLine="0"/>
      </w:pPr>
      <w:r>
        <w:rPr>
          <w:lang w:val="ru-RU" w:eastAsia="ru-RU" w:bidi="ru-RU"/>
          <w:sz w:val="24"/>
          <w:szCs w:val="24"/>
          <w:w w:val="100"/>
          <w:spacing w:val="0"/>
          <w:color w:val="000000"/>
          <w:position w:val="0"/>
        </w:rPr>
        <w:t>РЕШЕНИЕ</w:t>
      </w:r>
    </w:p>
    <w:p>
      <w:pPr>
        <w:pStyle w:val="Style8"/>
        <w:tabs>
          <w:tab w:leader="none" w:pos="9438" w:val="right"/>
          <w:tab w:leader="none" w:pos="9438" w:val="right"/>
        </w:tabs>
        <w:widowControl w:val="0"/>
        <w:keepNext w:val="0"/>
        <w:keepLines w:val="0"/>
        <w:shd w:val="clear" w:color="auto" w:fill="auto"/>
        <w:bidi w:val="0"/>
        <w:spacing w:before="0" w:after="158" w:line="240" w:lineRule="exact"/>
        <w:ind w:left="20" w:right="0" w:firstLine="0"/>
      </w:pPr>
      <w:r>
        <w:rPr>
          <w:lang w:val="ru-RU" w:eastAsia="ru-RU" w:bidi="ru-RU"/>
          <w:sz w:val="24"/>
          <w:szCs w:val="24"/>
          <w:w w:val="100"/>
          <w:spacing w:val="0"/>
          <w:color w:val="000000"/>
          <w:position w:val="0"/>
        </w:rPr>
        <w:t>25.10.2021 г.</w:t>
        <w:tab/>
        <w:t>г.</w:t>
        <w:tab/>
        <w:t>Ростов-на-Дону</w:t>
      </w:r>
    </w:p>
    <w:p>
      <w:pPr>
        <w:pStyle w:val="Style8"/>
        <w:widowControl w:val="0"/>
        <w:keepNext w:val="0"/>
        <w:keepLines w:val="0"/>
        <w:shd w:val="clear" w:color="auto" w:fill="auto"/>
        <w:bidi w:val="0"/>
        <w:spacing w:before="0" w:after="0" w:line="356"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8"/>
        <w:tabs>
          <w:tab w:leader="none" w:pos="7593" w:val="right"/>
          <w:tab w:leader="none" w:pos="9103" w:val="right"/>
        </w:tabs>
        <w:widowControl w:val="0"/>
        <w:keepNext w:val="0"/>
        <w:keepLines w:val="0"/>
        <w:shd w:val="clear" w:color="auto" w:fill="auto"/>
        <w:bidi w:val="0"/>
        <w:spacing w:before="0" w:after="0" w:line="356" w:lineRule="exact"/>
        <w:ind w:left="20" w:right="0" w:firstLine="720"/>
      </w:pPr>
      <w:r>
        <w:rPr>
          <w:lang w:val="ru-RU" w:eastAsia="ru-RU" w:bidi="ru-RU"/>
          <w:sz w:val="24"/>
          <w:szCs w:val="24"/>
          <w:w w:val="100"/>
          <w:spacing w:val="0"/>
          <w:color w:val="000000"/>
          <w:position w:val="0"/>
        </w:rPr>
        <w:t>Председатель Комиссии:</w:t>
        <w:tab/>
        <w:t>М.А.</w:t>
        <w:tab/>
        <w:t>Благодарев,</w:t>
      </w:r>
    </w:p>
    <w:p>
      <w:pPr>
        <w:pStyle w:val="Style8"/>
        <w:tabs>
          <w:tab w:leader="none" w:pos="8887" w:val="right"/>
        </w:tabs>
        <w:widowControl w:val="0"/>
        <w:keepNext w:val="0"/>
        <w:keepLines w:val="0"/>
        <w:shd w:val="clear" w:color="auto" w:fill="auto"/>
        <w:bidi w:val="0"/>
        <w:spacing w:before="0" w:after="0" w:line="356" w:lineRule="exact"/>
        <w:ind w:left="20" w:right="0" w:firstLine="720"/>
      </w:pPr>
      <w:r>
        <w:rPr>
          <w:lang w:val="ru-RU" w:eastAsia="ru-RU" w:bidi="ru-RU"/>
          <w:sz w:val="24"/>
          <w:szCs w:val="24"/>
          <w:w w:val="100"/>
          <w:spacing w:val="0"/>
          <w:color w:val="000000"/>
          <w:position w:val="0"/>
        </w:rPr>
        <w:t>Члены Комиссии:</w:t>
        <w:tab/>
        <w:t>С.А. Иванкова,</w:t>
      </w:r>
    </w:p>
    <w:p>
      <w:pPr>
        <w:pStyle w:val="Style8"/>
        <w:widowControl w:val="0"/>
        <w:keepNext w:val="0"/>
        <w:keepLines w:val="0"/>
        <w:shd w:val="clear" w:color="auto" w:fill="auto"/>
        <w:bidi w:val="0"/>
        <w:jc w:val="left"/>
        <w:spacing w:before="0" w:after="338" w:line="356" w:lineRule="exact"/>
        <w:ind w:left="7120" w:right="0" w:firstLine="0"/>
      </w:pPr>
      <w:r>
        <w:rPr>
          <w:lang w:val="ru-RU" w:eastAsia="ru-RU" w:bidi="ru-RU"/>
          <w:sz w:val="24"/>
          <w:szCs w:val="24"/>
          <w:w w:val="100"/>
          <w:spacing w:val="0"/>
          <w:color w:val="000000"/>
          <w:position w:val="0"/>
        </w:rPr>
        <w:t>Ю.В. Бех,</w:t>
      </w:r>
    </w:p>
    <w:p>
      <w:pPr>
        <w:pStyle w:val="Style8"/>
        <w:widowControl w:val="0"/>
        <w:keepNext w:val="0"/>
        <w:keepLines w:val="0"/>
        <w:shd w:val="clear" w:color="auto" w:fill="auto"/>
        <w:bidi w:val="0"/>
        <w:spacing w:before="0" w:after="260"/>
        <w:ind w:left="20" w:right="20" w:firstLine="720"/>
      </w:pPr>
      <w:r>
        <w:rPr>
          <w:lang w:val="ru-RU" w:eastAsia="ru-RU" w:bidi="ru-RU"/>
          <w:sz w:val="24"/>
          <w:szCs w:val="24"/>
          <w:w w:val="100"/>
          <w:spacing w:val="0"/>
          <w:color w:val="000000"/>
          <w:position w:val="0"/>
        </w:rPr>
        <w:t>рассмотрев дело № 061/06/67-1760/2021 по жалобе, поступившей от Общества с ограниченной ответственностью «Аванта-Трейд», о нарушении аукционной комиссией Заказчика при проведении электронного аукциона №0358200000521000144 «Поставка расходных материалов в 2022г» (далее - аукцион) 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pPr>
        <w:pStyle w:val="Style17"/>
        <w:widowControl w:val="0"/>
        <w:keepNext/>
        <w:keepLines/>
        <w:shd w:val="clear" w:color="auto" w:fill="auto"/>
        <w:bidi w:val="0"/>
        <w:spacing w:before="0" w:after="0" w:line="360" w:lineRule="exact"/>
        <w:ind w:left="0" w:right="320" w:firstLine="0"/>
      </w:pPr>
      <w:bookmarkStart w:id="0" w:name="bookmark0"/>
      <w:r>
        <w:rPr>
          <w:lang w:val="ru-RU" w:eastAsia="ru-RU" w:bidi="ru-RU"/>
          <w:w w:val="100"/>
          <w:spacing w:val="0"/>
          <w:color w:val="000000"/>
          <w:position w:val="0"/>
        </w:rPr>
        <w:t>017963</w:t>
      </w:r>
      <w:bookmarkEnd w:id="0"/>
      <w:r>
        <w:br w:type="page"/>
      </w:r>
    </w:p>
    <w:p>
      <w:pPr>
        <w:pStyle w:val="Style8"/>
        <w:widowControl w:val="0"/>
        <w:keepNext w:val="0"/>
        <w:keepLines w:val="0"/>
        <w:shd w:val="clear" w:color="auto" w:fill="auto"/>
        <w:bidi w:val="0"/>
        <w:spacing w:before="0" w:after="299" w:line="313" w:lineRule="exact"/>
        <w:ind w:left="40" w:right="40" w:firstLine="0"/>
      </w:pPr>
      <w:r>
        <w:rPr>
          <w:lang w:val="ru-RU" w:eastAsia="ru-RU" w:bidi="ru-RU"/>
          <w:sz w:val="24"/>
          <w:szCs w:val="24"/>
          <w:w w:val="100"/>
          <w:spacing w:val="0"/>
          <w:color w:val="000000"/>
          <w:position w:val="0"/>
        </w:rPr>
        <w:t>(далее - Закон), путем использования системы видеоконференц-связи (ВКС) в отсутствие представителей Заявителя, уведомленного надлежащим образом, в присутствии представителя Заказчика по доверенности - Фетюкова Виталия Александровича (доверенность от 15.01.2021 б/н),</w:t>
      </w:r>
    </w:p>
    <w:p>
      <w:pPr>
        <w:pStyle w:val="Style19"/>
        <w:widowControl w:val="0"/>
        <w:keepNext/>
        <w:keepLines/>
        <w:shd w:val="clear" w:color="auto" w:fill="auto"/>
        <w:bidi w:val="0"/>
        <w:spacing w:before="0" w:after="382" w:line="240" w:lineRule="exact"/>
        <w:ind w:left="0" w:right="0" w:firstLine="0"/>
      </w:pPr>
      <w:bookmarkStart w:id="1" w:name="bookmark1"/>
      <w:r>
        <w:rPr>
          <w:lang w:val="ru-RU" w:eastAsia="ru-RU" w:bidi="ru-RU"/>
          <w:sz w:val="24"/>
          <w:szCs w:val="24"/>
          <w:w w:val="100"/>
          <w:spacing w:val="0"/>
          <w:color w:val="000000"/>
          <w:position w:val="0"/>
        </w:rPr>
        <w:t>УСТАНОВИЛА:</w:t>
      </w:r>
      <w:bookmarkEnd w:id="1"/>
    </w:p>
    <w:p>
      <w:pPr>
        <w:pStyle w:val="Style8"/>
        <w:widowControl w:val="0"/>
        <w:keepNext w:val="0"/>
        <w:keepLines w:val="0"/>
        <w:shd w:val="clear" w:color="auto" w:fill="auto"/>
        <w:bidi w:val="0"/>
        <w:spacing w:before="0" w:after="0"/>
        <w:ind w:left="40" w:right="40" w:firstLine="720"/>
      </w:pPr>
      <w:r>
        <w:rPr>
          <w:lang w:val="ru-RU" w:eastAsia="ru-RU" w:bidi="ru-RU"/>
          <w:sz w:val="24"/>
          <w:szCs w:val="24"/>
          <w:w w:val="100"/>
          <w:spacing w:val="0"/>
          <w:color w:val="000000"/>
          <w:position w:val="0"/>
        </w:rPr>
        <w:t>В Ростовское УФАС России поступила жалоба от Заявителя, в которой обжаловался отказ в допуске к участию в аукционе.</w:t>
      </w:r>
    </w:p>
    <w:p>
      <w:pPr>
        <w:pStyle w:val="Style8"/>
        <w:widowControl w:val="0"/>
        <w:keepNext w:val="0"/>
        <w:keepLines w:val="0"/>
        <w:shd w:val="clear" w:color="auto" w:fill="auto"/>
        <w:bidi w:val="0"/>
        <w:spacing w:before="0" w:after="0"/>
        <w:ind w:left="40" w:right="40" w:firstLine="720"/>
      </w:pPr>
      <w:r>
        <w:rPr>
          <w:lang w:val="ru-RU" w:eastAsia="ru-RU" w:bidi="ru-RU"/>
          <w:sz w:val="24"/>
          <w:szCs w:val="24"/>
          <w:w w:val="100"/>
          <w:spacing w:val="0"/>
          <w:color w:val="000000"/>
          <w:position w:val="0"/>
        </w:rPr>
        <w:t>Заказчик в возражении на жалобу отрицал нарушения Закона при проведении аукциона, просил признать жалобу необоснованной.</w:t>
      </w:r>
    </w:p>
    <w:p>
      <w:pPr>
        <w:pStyle w:val="Style8"/>
        <w:widowControl w:val="0"/>
        <w:keepNext w:val="0"/>
        <w:keepLines w:val="0"/>
        <w:shd w:val="clear" w:color="auto" w:fill="auto"/>
        <w:bidi w:val="0"/>
        <w:spacing w:before="0" w:after="0"/>
        <w:ind w:left="40" w:right="40" w:firstLine="720"/>
      </w:pPr>
      <w:r>
        <w:rPr>
          <w:lang w:val="ru-RU" w:eastAsia="ru-RU" w:bidi="ru-RU"/>
          <w:sz w:val="24"/>
          <w:szCs w:val="24"/>
          <w:w w:val="100"/>
          <w:spacing w:val="0"/>
          <w:color w:val="000000"/>
          <w:position w:val="0"/>
        </w:rPr>
        <w:t>В соответствии с ч. 3 ст. 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в ходе рассмотрения дела установлено следующее:</w:t>
      </w:r>
    </w:p>
    <w:p>
      <w:pPr>
        <w:pStyle w:val="Style8"/>
        <w:widowControl w:val="0"/>
        <w:keepNext w:val="0"/>
        <w:keepLines w:val="0"/>
        <w:shd w:val="clear" w:color="auto" w:fill="auto"/>
        <w:bidi w:val="0"/>
        <w:spacing w:before="0" w:after="0"/>
        <w:ind w:left="40" w:right="40" w:firstLine="720"/>
      </w:pPr>
      <w:r>
        <w:rPr>
          <w:lang w:val="ru-RU" w:eastAsia="ru-RU" w:bidi="ru-RU"/>
          <w:sz w:val="24"/>
          <w:szCs w:val="24"/>
          <w:w w:val="100"/>
          <w:spacing w:val="0"/>
          <w:color w:val="000000"/>
          <w:position w:val="0"/>
        </w:rPr>
        <w:t>Согласно Извещению о проведении электронного аукциона № 0358200000521000144:</w:t>
      </w:r>
    </w:p>
    <w:p>
      <w:pPr>
        <w:pStyle w:val="Style8"/>
        <w:numPr>
          <w:ilvl w:val="0"/>
          <w:numId w:val="1"/>
        </w:numPr>
        <w:widowControl w:val="0"/>
        <w:keepNext w:val="0"/>
        <w:keepLines w:val="0"/>
        <w:shd w:val="clear" w:color="auto" w:fill="auto"/>
        <w:bidi w:val="0"/>
        <w:spacing w:before="0" w:after="0"/>
        <w:ind w:left="40" w:right="0" w:firstLine="720"/>
      </w:pPr>
      <w:r>
        <w:rPr>
          <w:lang w:val="ru-RU" w:eastAsia="ru-RU" w:bidi="ru-RU"/>
          <w:sz w:val="24"/>
          <w:szCs w:val="24"/>
          <w:w w:val="100"/>
          <w:spacing w:val="0"/>
          <w:color w:val="000000"/>
          <w:position w:val="0"/>
        </w:rPr>
        <w:t xml:space="preserve"> начальная (максимальная) цена контракта составила 738 434,64 руб.;</w:t>
      </w:r>
    </w:p>
    <w:p>
      <w:pPr>
        <w:pStyle w:val="Style8"/>
        <w:numPr>
          <w:ilvl w:val="0"/>
          <w:numId w:val="1"/>
        </w:numPr>
        <w:widowControl w:val="0"/>
        <w:keepNext w:val="0"/>
        <w:keepLines w:val="0"/>
        <w:shd w:val="clear" w:color="auto" w:fill="auto"/>
        <w:bidi w:val="0"/>
        <w:spacing w:before="0" w:after="237" w:line="306" w:lineRule="exact"/>
        <w:ind w:left="40" w:right="40" w:firstLine="720"/>
      </w:pPr>
      <w:r>
        <w:rPr>
          <w:lang w:val="ru-RU" w:eastAsia="ru-RU" w:bidi="ru-RU"/>
          <w:sz w:val="24"/>
          <w:szCs w:val="24"/>
          <w:w w:val="100"/>
          <w:spacing w:val="0"/>
          <w:color w:val="000000"/>
          <w:position w:val="0"/>
        </w:rPr>
        <w:t xml:space="preserve"> определены дата и время окончания срока подачи заявок на участие в аукционе - 15.10.2021 года в 08 часов 00 минут.</w:t>
      </w:r>
    </w:p>
    <w:p>
      <w:pPr>
        <w:pStyle w:val="Style8"/>
        <w:widowControl w:val="0"/>
        <w:keepNext w:val="0"/>
        <w:keepLines w:val="0"/>
        <w:shd w:val="clear" w:color="auto" w:fill="auto"/>
        <w:bidi w:val="0"/>
        <w:spacing w:before="0" w:after="0"/>
        <w:ind w:left="40" w:right="40" w:firstLine="720"/>
      </w:pPr>
      <w:r>
        <w:rPr>
          <w:lang w:val="ru-RU" w:eastAsia="ru-RU" w:bidi="ru-RU"/>
          <w:sz w:val="24"/>
          <w:szCs w:val="24"/>
          <w:w w:val="100"/>
          <w:spacing w:val="0"/>
          <w:color w:val="000000"/>
          <w:position w:val="0"/>
        </w:rPr>
        <w:t>Согласно Протоколу рассмотрения заявок на участие в аукционе в электронной форме №0358200000521000144-1 от 19.10.2021:</w:t>
      </w:r>
    </w:p>
    <w:p>
      <w:pPr>
        <w:pStyle w:val="Style8"/>
        <w:numPr>
          <w:ilvl w:val="0"/>
          <w:numId w:val="1"/>
        </w:numPr>
        <w:widowControl w:val="0"/>
        <w:keepNext w:val="0"/>
        <w:keepLines w:val="0"/>
        <w:shd w:val="clear" w:color="auto" w:fill="auto"/>
        <w:bidi w:val="0"/>
        <w:spacing w:before="0" w:after="0" w:line="240" w:lineRule="exact"/>
        <w:ind w:left="40" w:right="0" w:firstLine="720"/>
      </w:pPr>
      <w:r>
        <w:rPr>
          <w:lang w:val="ru-RU" w:eastAsia="ru-RU" w:bidi="ru-RU"/>
          <w:sz w:val="24"/>
          <w:szCs w:val="24"/>
          <w:w w:val="100"/>
          <w:spacing w:val="0"/>
          <w:color w:val="000000"/>
          <w:position w:val="0"/>
        </w:rPr>
        <w:t xml:space="preserve"> на участие в аукционе подано 9 заявок;</w:t>
      </w:r>
    </w:p>
    <w:p>
      <w:pPr>
        <w:pStyle w:val="Style8"/>
        <w:numPr>
          <w:ilvl w:val="0"/>
          <w:numId w:val="1"/>
        </w:numPr>
        <w:widowControl w:val="0"/>
        <w:keepNext w:val="0"/>
        <w:keepLines w:val="0"/>
        <w:shd w:val="clear" w:color="auto" w:fill="auto"/>
        <w:bidi w:val="0"/>
        <w:spacing w:before="0" w:after="240" w:line="306" w:lineRule="exact"/>
        <w:ind w:left="40" w:right="40" w:firstLine="720"/>
      </w:pPr>
      <w:r>
        <w:rPr>
          <w:lang w:val="ru-RU" w:eastAsia="ru-RU" w:bidi="ru-RU"/>
          <w:sz w:val="24"/>
          <w:szCs w:val="24"/>
          <w:w w:val="100"/>
          <w:spacing w:val="0"/>
          <w:color w:val="000000"/>
          <w:position w:val="0"/>
        </w:rPr>
        <w:t xml:space="preserve"> участнику закупки, подавшему заявку №110690751 (Заявитель), отказано в допуске к участию в аукционе.</w:t>
      </w:r>
    </w:p>
    <w:p>
      <w:pPr>
        <w:pStyle w:val="Style8"/>
        <w:widowControl w:val="0"/>
        <w:keepNext w:val="0"/>
        <w:keepLines w:val="0"/>
        <w:shd w:val="clear" w:color="auto" w:fill="auto"/>
        <w:bidi w:val="0"/>
        <w:spacing w:before="0" w:after="0" w:line="306" w:lineRule="exact"/>
        <w:ind w:left="40" w:right="40" w:firstLine="720"/>
      </w:pPr>
      <w:r>
        <w:rPr>
          <w:lang w:val="ru-RU" w:eastAsia="ru-RU" w:bidi="ru-RU"/>
          <w:sz w:val="24"/>
          <w:szCs w:val="24"/>
          <w:w w:val="100"/>
          <w:spacing w:val="0"/>
          <w:color w:val="000000"/>
          <w:position w:val="0"/>
        </w:rPr>
        <w:t>В силу положений пункта 1 части 1 статьи 33 Закона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w:t>
      </w:r>
    </w:p>
    <w:p>
      <w:pPr>
        <w:pStyle w:val="Style8"/>
        <w:tabs>
          <w:tab w:leader="none" w:pos="2112" w:val="left"/>
          <w:tab w:leader="none" w:pos="8192" w:val="right"/>
          <w:tab w:leader="none" w:pos="9094" w:val="center"/>
          <w:tab w:leader="none" w:pos="10238" w:val="right"/>
        </w:tabs>
        <w:widowControl w:val="0"/>
        <w:keepNext w:val="0"/>
        <w:keepLines w:val="0"/>
        <w:shd w:val="clear" w:color="auto" w:fill="auto"/>
        <w:bidi w:val="0"/>
        <w:spacing w:before="0" w:after="0"/>
        <w:ind w:left="40" w:right="40" w:firstLine="0"/>
      </w:pPr>
      <w:r>
        <w:rPr>
          <w:lang w:val="ru-RU" w:eastAsia="ru-RU" w:bidi="ru-RU"/>
          <w:sz w:val="24"/>
          <w:szCs w:val="24"/>
          <w:w w:val="100"/>
          <w:spacing w:val="0"/>
          <w:color w:val="000000"/>
          <w:position w:val="0"/>
        </w:rPr>
        <w:t>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w:t>
        <w:tab/>
        <w:t>показатели,</w:t>
        <w:tab/>
        <w:t>требования, условные обозначения и</w:t>
        <w:tab/>
        <w:t>терминология,</w:t>
        <w:tab/>
        <w:t>в</w:t>
      </w:r>
    </w:p>
    <w:p>
      <w:pPr>
        <w:pStyle w:val="Style8"/>
        <w:tabs>
          <w:tab w:leader="none" w:pos="2112" w:val="left"/>
          <w:tab w:leader="none" w:pos="8192" w:val="right"/>
          <w:tab w:leader="none" w:pos="9094" w:val="center"/>
        </w:tabs>
        <w:widowControl w:val="0"/>
        <w:keepNext w:val="0"/>
        <w:keepLines w:val="0"/>
        <w:shd w:val="clear" w:color="auto" w:fill="auto"/>
        <w:bidi w:val="0"/>
        <w:spacing w:before="0" w:after="0"/>
        <w:ind w:left="40" w:right="0" w:firstLine="0"/>
      </w:pPr>
      <w:r>
        <w:rPr>
          <w:lang w:val="ru-RU" w:eastAsia="ru-RU" w:bidi="ru-RU"/>
          <w:sz w:val="24"/>
          <w:szCs w:val="24"/>
          <w:w w:val="100"/>
          <w:spacing w:val="0"/>
          <w:color w:val="000000"/>
          <w:position w:val="0"/>
        </w:rPr>
        <w:t>документации</w:t>
        <w:tab/>
        <w:t>о закупке</w:t>
        <w:tab/>
        <w:t>должно содержаться обоснование</w:t>
        <w:tab/>
        <w:t>необходимости</w:t>
      </w:r>
    </w:p>
    <w:p>
      <w:pPr>
        <w:pStyle w:val="Style8"/>
        <w:tabs>
          <w:tab w:leader="none" w:pos="2112" w:val="left"/>
          <w:tab w:leader="none" w:pos="9094" w:val="center"/>
          <w:tab w:leader="none" w:pos="10238" w:val="right"/>
        </w:tabs>
        <w:widowControl w:val="0"/>
        <w:keepNext w:val="0"/>
        <w:keepLines w:val="0"/>
        <w:shd w:val="clear" w:color="auto" w:fill="auto"/>
        <w:bidi w:val="0"/>
        <w:spacing w:before="0" w:after="0"/>
        <w:ind w:left="40" w:right="0" w:firstLine="0"/>
      </w:pPr>
      <w:r>
        <w:rPr>
          <w:lang w:val="ru-RU" w:eastAsia="ru-RU" w:bidi="ru-RU"/>
          <w:sz w:val="24"/>
          <w:szCs w:val="24"/>
          <w:w w:val="100"/>
          <w:spacing w:val="0"/>
          <w:color w:val="000000"/>
          <w:position w:val="0"/>
        </w:rPr>
        <w:t>использования</w:t>
        <w:tab/>
        <w:t>других показателей, требований, условных</w:t>
        <w:tab/>
        <w:t>обозначений</w:t>
        <w:tab/>
        <w:t>и</w:t>
      </w:r>
    </w:p>
    <w:p>
      <w:pPr>
        <w:pStyle w:val="Style8"/>
        <w:widowControl w:val="0"/>
        <w:keepNext w:val="0"/>
        <w:keepLines w:val="0"/>
        <w:shd w:val="clear" w:color="auto" w:fill="auto"/>
        <w:bidi w:val="0"/>
        <w:spacing w:before="0" w:after="0"/>
        <w:ind w:left="40" w:right="0" w:firstLine="0"/>
      </w:pPr>
      <w:r>
        <w:rPr>
          <w:lang w:val="ru-RU" w:eastAsia="ru-RU" w:bidi="ru-RU"/>
          <w:sz w:val="24"/>
          <w:szCs w:val="24"/>
          <w:w w:val="100"/>
          <w:spacing w:val="0"/>
          <w:color w:val="000000"/>
          <w:position w:val="0"/>
        </w:rPr>
        <w:t>терминологии.</w:t>
      </w:r>
    </w:p>
    <w:p>
      <w:pPr>
        <w:pStyle w:val="Style8"/>
        <w:tabs>
          <w:tab w:leader="none" w:pos="2112" w:val="left"/>
          <w:tab w:leader="none" w:pos="8192" w:val="right"/>
          <w:tab w:leader="none" w:pos="10238" w:val="right"/>
        </w:tabs>
        <w:widowControl w:val="0"/>
        <w:keepNext w:val="0"/>
        <w:keepLines w:val="0"/>
        <w:shd w:val="clear" w:color="auto" w:fill="auto"/>
        <w:bidi w:val="0"/>
        <w:spacing w:before="0" w:after="0"/>
        <w:ind w:left="40" w:right="0" w:firstLine="700"/>
      </w:pPr>
      <w:r>
        <w:rPr>
          <w:lang w:val="ru-RU" w:eastAsia="ru-RU" w:bidi="ru-RU"/>
          <w:sz w:val="24"/>
          <w:szCs w:val="24"/>
          <w:w w:val="100"/>
          <w:spacing w:val="0"/>
          <w:color w:val="000000"/>
          <w:position w:val="0"/>
        </w:rPr>
        <w:t>Частью 2</w:t>
        <w:tab/>
        <w:t>статьи 33</w:t>
        <w:tab/>
        <w:t>Закона установлено, что документация о закупке</w:t>
        <w:tab/>
        <w:t>в</w:t>
      </w:r>
    </w:p>
    <w:p>
      <w:pPr>
        <w:pStyle w:val="Style8"/>
        <w:widowControl w:val="0"/>
        <w:keepNext w:val="0"/>
        <w:keepLines w:val="0"/>
        <w:shd w:val="clear" w:color="auto" w:fill="auto"/>
        <w:bidi w:val="0"/>
        <w:spacing w:before="0" w:after="0"/>
        <w:ind w:left="40" w:right="40" w:firstLine="0"/>
      </w:pPr>
      <w:r>
        <w:rPr>
          <w:lang w:val="ru-RU" w:eastAsia="ru-RU" w:bidi="ru-RU"/>
          <w:sz w:val="24"/>
          <w:szCs w:val="24"/>
          <w:w w:val="100"/>
          <w:spacing w:val="0"/>
          <w:color w:val="000000"/>
          <w:position w:val="0"/>
        </w:rPr>
        <w:t>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8"/>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Требования к показателям, позволяющим определить соответствие закупаемого товара установленным заказчиком требованиям, определены в части 2 аукционной документации «Наименование и описание объекта закупки».</w:t>
      </w:r>
    </w:p>
    <w:p>
      <w:pPr>
        <w:pStyle w:val="Style8"/>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Инструкция по составлению первой части заявки содержится в п. 15 части 1 аукционной документации «Сведения о проводимом аукционе в электронной форме» (далее - Инструкция).</w:t>
      </w:r>
    </w:p>
    <w:p>
      <w:pPr>
        <w:pStyle w:val="Style8"/>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В соответствии с пунктом 2 части 1 статьи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w:t>
      </w:r>
    </w:p>
    <w:p>
      <w:pPr>
        <w:pStyle w:val="Style8"/>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В соответствии с частью 3 статьи 67 Закона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pPr>
        <w:pStyle w:val="Style8"/>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Согласно части 4 статьи 67 Закона участник электронного аукциона не допускается к участию в нем в случае:</w:t>
      </w:r>
    </w:p>
    <w:p>
      <w:pPr>
        <w:pStyle w:val="Style8"/>
        <w:numPr>
          <w:ilvl w:val="0"/>
          <w:numId w:val="3"/>
        </w:numPr>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 xml:space="preserve"> непредставления информации, предусмотренной частью 3 статьи 66 Закона, или предоставления недостоверной информации;</w:t>
      </w:r>
    </w:p>
    <w:p>
      <w:pPr>
        <w:pStyle w:val="Style8"/>
        <w:numPr>
          <w:ilvl w:val="0"/>
          <w:numId w:val="3"/>
        </w:numPr>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8"/>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Частью 5 статьи 67 Закона установлено, что отказ в допуске к участию в электронном аукционе по основаниям, не предусмотренным частью 4 настоящей статьи, не допускается.</w:t>
      </w:r>
    </w:p>
    <w:p>
      <w:pPr>
        <w:pStyle w:val="Style8"/>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Согласно доводам жалобы, Заявитель оспаривает отказ в допуске своей заявки к участию в электронном аукционе.</w:t>
      </w:r>
    </w:p>
    <w:p>
      <w:pPr>
        <w:pStyle w:val="Style8"/>
        <w:widowControl w:val="0"/>
        <w:keepNext w:val="0"/>
        <w:keepLines w:val="0"/>
        <w:shd w:val="clear" w:color="auto" w:fill="auto"/>
        <w:bidi w:val="0"/>
        <w:spacing w:before="0" w:after="0"/>
        <w:ind w:left="40" w:right="40" w:firstLine="700"/>
      </w:pPr>
      <w:r>
        <w:rPr>
          <w:lang w:val="ru-RU" w:eastAsia="ru-RU" w:bidi="ru-RU"/>
          <w:sz w:val="24"/>
          <w:szCs w:val="24"/>
          <w:w w:val="100"/>
          <w:spacing w:val="0"/>
          <w:color w:val="000000"/>
          <w:position w:val="0"/>
        </w:rPr>
        <w:t>Комиссия установила, что из протокола рассмотрения заявок на участие в электронном аукционе от 19.10.2021 № 0358200000521000144-1 следует, что заявке</w:t>
      </w:r>
    </w:p>
    <w:p>
      <w:pPr>
        <w:pStyle w:val="Style8"/>
        <w:widowControl w:val="0"/>
        <w:keepNext w:val="0"/>
        <w:keepLines w:val="0"/>
        <w:shd w:val="clear" w:color="auto" w:fill="auto"/>
        <w:bidi w:val="0"/>
        <w:spacing w:before="0" w:after="0"/>
        <w:ind w:left="40" w:right="40" w:firstLine="0"/>
      </w:pPr>
      <w:r>
        <w:rPr>
          <w:lang w:val="ru-RU" w:eastAsia="ru-RU" w:bidi="ru-RU"/>
          <w:sz w:val="24"/>
          <w:szCs w:val="24"/>
          <w:w w:val="100"/>
          <w:spacing w:val="0"/>
          <w:color w:val="000000"/>
          <w:position w:val="0"/>
        </w:rPr>
        <w:t>Заявителя с идентификационным номером «110690751» отказано в допуске к участию в электронном аукционе на основании пункта 1 части 4 статьи 67 Закона ввиду предоставления информации, несоответствующей требованиям аукционной документации.</w:t>
      </w:r>
    </w:p>
    <w:p>
      <w:pPr>
        <w:pStyle w:val="Style8"/>
        <w:widowControl w:val="0"/>
        <w:keepNext w:val="0"/>
        <w:keepLines w:val="0"/>
        <w:shd w:val="clear" w:color="auto" w:fill="auto"/>
        <w:bidi w:val="0"/>
        <w:spacing w:before="0" w:after="0"/>
        <w:ind w:left="40" w:right="40" w:firstLine="720"/>
      </w:pPr>
      <w:r>
        <w:rPr>
          <w:lang w:val="ru-RU" w:eastAsia="ru-RU" w:bidi="ru-RU"/>
          <w:sz w:val="24"/>
          <w:szCs w:val="24"/>
          <w:w w:val="100"/>
          <w:spacing w:val="0"/>
          <w:color w:val="000000"/>
          <w:position w:val="0"/>
        </w:rPr>
        <w:t xml:space="preserve">Обоснование решения: «Участник в п. 1 заявки предлагает: «точка первичного контакта должна находиться на расстоянии не менее </w:t>
      </w:r>
      <w:r>
        <w:rPr>
          <w:rStyle w:val="CharStyle21"/>
        </w:rPr>
        <w:t>0</w:t>
      </w:r>
      <w:r>
        <w:rPr>
          <w:rStyle w:val="CharStyle22"/>
        </w:rPr>
        <w:t>,</w:t>
      </w:r>
      <w:r>
        <w:rPr>
          <w:rStyle w:val="CharStyle21"/>
        </w:rPr>
        <w:t>75</w:t>
      </w:r>
      <w:r>
        <w:rPr>
          <w:rStyle w:val="CharStyle22"/>
        </w:rPr>
        <w:t>».</w:t>
      </w:r>
      <w:r>
        <w:rPr>
          <w:lang w:val="ru-RU" w:eastAsia="ru-RU" w:bidi="ru-RU"/>
          <w:sz w:val="24"/>
          <w:szCs w:val="24"/>
          <w:w w:val="100"/>
          <w:spacing w:val="0"/>
          <w:color w:val="000000"/>
          <w:position w:val="0"/>
        </w:rPr>
        <w:t xml:space="preserve"> Таким образом, участник не указывает точных значений, требуемых характеристик.</w:t>
      </w:r>
    </w:p>
    <w:p>
      <w:pPr>
        <w:pStyle w:val="Style8"/>
        <w:widowControl w:val="0"/>
        <w:keepNext w:val="0"/>
        <w:keepLines w:val="0"/>
        <w:shd w:val="clear" w:color="auto" w:fill="auto"/>
        <w:bidi w:val="0"/>
        <w:spacing w:before="0" w:after="0"/>
        <w:ind w:left="40" w:right="40" w:firstLine="720"/>
      </w:pPr>
      <w:r>
        <w:rPr>
          <w:lang w:val="ru-RU" w:eastAsia="ru-RU" w:bidi="ru-RU"/>
          <w:sz w:val="24"/>
          <w:szCs w:val="24"/>
          <w:w w:val="100"/>
          <w:spacing w:val="0"/>
          <w:color w:val="000000"/>
          <w:position w:val="0"/>
        </w:rPr>
        <w:t>В инструкции по заполнению заявки установлено, что в случае установления в документации неконкретных значений показателей товара, участнику в своей заявке необходимо указывать конкретные показатели, соответствующие значениям, установленным документацией, за исключением случаев, когда в соответствии с государственными стандартами установлено, что данный показатель не может быть конкретизирован, либо показатели и характеристики товаров определяются по испытаниям или методами вычисления в лабораторных условиях в соответствии с требованиями действующих ГОСТов.</w:t>
      </w:r>
    </w:p>
    <w:p>
      <w:pPr>
        <w:pStyle w:val="Style8"/>
        <w:widowControl w:val="0"/>
        <w:keepNext w:val="0"/>
        <w:keepLines w:val="0"/>
        <w:shd w:val="clear" w:color="auto" w:fill="auto"/>
        <w:bidi w:val="0"/>
        <w:spacing w:before="0" w:after="0"/>
        <w:ind w:left="40" w:right="40" w:firstLine="720"/>
      </w:pPr>
      <w:r>
        <w:rPr>
          <w:lang w:val="ru-RU" w:eastAsia="ru-RU" w:bidi="ru-RU"/>
          <w:sz w:val="24"/>
          <w:szCs w:val="24"/>
          <w:w w:val="100"/>
          <w:spacing w:val="0"/>
          <w:color w:val="000000"/>
          <w:position w:val="0"/>
        </w:rPr>
        <w:t>Заказчиком при описании требуемых характеристик использовал межгосударственный стандарт ГОСТ 21239-93 «Инструменты хирургические. Ножницы. Общие требования и методы испытаний». Согласно п. 1 ГОСТ 21239-93, настоящий стандарт устанавливает общие технические требования ножниц, применяемых в хирургии. Таким образом, заказчиком указано общее требование к хирургическим ножницам, а именно не менее 0,75 длины режущей кромки, отсчитанной от концов ножниц, что является вариативным исполнением данной длины.</w:t>
      </w:r>
    </w:p>
    <w:p>
      <w:pPr>
        <w:pStyle w:val="Style8"/>
        <w:widowControl w:val="0"/>
        <w:keepNext w:val="0"/>
        <w:keepLines w:val="0"/>
        <w:shd w:val="clear" w:color="auto" w:fill="auto"/>
        <w:bidi w:val="0"/>
        <w:spacing w:before="0" w:after="0"/>
        <w:ind w:left="40" w:right="40" w:firstLine="720"/>
      </w:pPr>
      <w:r>
        <w:rPr>
          <w:lang w:val="ru-RU" w:eastAsia="ru-RU" w:bidi="ru-RU"/>
          <w:sz w:val="24"/>
          <w:szCs w:val="24"/>
          <w:w w:val="100"/>
          <w:spacing w:val="0"/>
          <w:color w:val="000000"/>
          <w:position w:val="0"/>
        </w:rPr>
        <w:t>Поскольку участником закупки в заявке №110690751 не указаны точные цифровые параметры (конкретные показатели), Комиссией не установлено в действиях аукционной комиссии нарушений требований статьи 67 Закона.</w:t>
      </w:r>
    </w:p>
    <w:p>
      <w:pPr>
        <w:pStyle w:val="Style8"/>
        <w:widowControl w:val="0"/>
        <w:keepNext w:val="0"/>
        <w:keepLines w:val="0"/>
        <w:shd w:val="clear" w:color="auto" w:fill="auto"/>
        <w:bidi w:val="0"/>
        <w:spacing w:before="0" w:after="240"/>
        <w:ind w:left="40" w:right="0" w:firstLine="720"/>
      </w:pPr>
      <w:r>
        <w:rPr>
          <w:lang w:val="ru-RU" w:eastAsia="ru-RU" w:bidi="ru-RU"/>
          <w:sz w:val="24"/>
          <w:szCs w:val="24"/>
          <w:w w:val="100"/>
          <w:spacing w:val="0"/>
          <w:color w:val="000000"/>
          <w:position w:val="0"/>
        </w:rPr>
        <w:t>Довод жалобы признается необоснованным.</w:t>
      </w:r>
    </w:p>
    <w:p>
      <w:pPr>
        <w:pStyle w:val="Style8"/>
        <w:numPr>
          <w:ilvl w:val="0"/>
          <w:numId w:val="5"/>
        </w:numPr>
        <w:tabs>
          <w:tab w:leader="none" w:pos="900" w:val="left"/>
        </w:tabs>
        <w:widowControl w:val="0"/>
        <w:keepNext w:val="0"/>
        <w:keepLines w:val="0"/>
        <w:shd w:val="clear" w:color="auto" w:fill="auto"/>
        <w:bidi w:val="0"/>
        <w:spacing w:before="0" w:after="0"/>
        <w:ind w:left="40" w:right="0" w:firstLine="540"/>
      </w:pPr>
      <w:r>
        <w:rPr>
          <w:lang w:val="ru-RU" w:eastAsia="ru-RU" w:bidi="ru-RU"/>
          <w:sz w:val="24"/>
          <w:szCs w:val="24"/>
          <w:w w:val="100"/>
          <w:spacing w:val="0"/>
          <w:color w:val="000000"/>
          <w:position w:val="0"/>
        </w:rPr>
        <w:t>В ходе рассмотрения дела установлены следующие нарушения:</w:t>
      </w:r>
    </w:p>
    <w:p>
      <w:pPr>
        <w:pStyle w:val="Style8"/>
        <w:numPr>
          <w:ilvl w:val="1"/>
          <w:numId w:val="5"/>
        </w:numPr>
        <w:tabs>
          <w:tab w:leader="none" w:pos="1314" w:val="left"/>
        </w:tabs>
        <w:widowControl w:val="0"/>
        <w:keepNext w:val="0"/>
        <w:keepLines w:val="0"/>
        <w:shd w:val="clear" w:color="auto" w:fill="auto"/>
        <w:bidi w:val="0"/>
        <w:spacing w:before="0" w:after="0"/>
        <w:ind w:left="40" w:right="40" w:firstLine="540"/>
      </w:pPr>
      <w:r>
        <w:rPr>
          <w:lang w:val="ru-RU" w:eastAsia="ru-RU" w:bidi="ru-RU"/>
          <w:sz w:val="24"/>
          <w:szCs w:val="24"/>
          <w:w w:val="100"/>
          <w:spacing w:val="0"/>
          <w:color w:val="000000"/>
          <w:position w:val="0"/>
        </w:rPr>
        <w:t xml:space="preserve">Согласно части 2 аукционной документации «Наименование и описание объекта закупки», Заказчиком установлено </w:t>
      </w:r>
      <w:r>
        <w:rPr>
          <w:rStyle w:val="CharStyle23"/>
        </w:rPr>
        <w:t xml:space="preserve">наименование характеристики - </w:t>
      </w:r>
      <w:r>
        <w:rPr>
          <w:lang w:val="ru-RU" w:eastAsia="ru-RU" w:bidi="ru-RU"/>
          <w:sz w:val="24"/>
          <w:szCs w:val="24"/>
          <w:w w:val="100"/>
          <w:spacing w:val="0"/>
          <w:color w:val="000000"/>
          <w:position w:val="0"/>
        </w:rPr>
        <w:t xml:space="preserve">«Ножницы диссекционные», а также установлено диапазонное (допустимое) значение показателя товара в соответствии с ГОСТ 21239-93 - «Точка первичного контакта должна находиться на расстоянии </w:t>
      </w:r>
      <w:r>
        <w:rPr>
          <w:rStyle w:val="CharStyle23"/>
        </w:rPr>
        <w:t xml:space="preserve">не менее 0,75 длины режущей кромки, </w:t>
      </w:r>
      <w:r>
        <w:rPr>
          <w:lang w:val="ru-RU" w:eastAsia="ru-RU" w:bidi="ru-RU"/>
          <w:sz w:val="24"/>
          <w:szCs w:val="24"/>
          <w:w w:val="100"/>
          <w:spacing w:val="0"/>
          <w:color w:val="000000"/>
          <w:position w:val="0"/>
        </w:rPr>
        <w:t>отсчитанной от концов ножниц», в то время как в значении характеристики товара установлено «соответствие».</w:t>
      </w:r>
    </w:p>
    <w:p>
      <w:pPr>
        <w:pStyle w:val="Style8"/>
        <w:widowControl w:val="0"/>
        <w:keepNext w:val="0"/>
        <w:keepLines w:val="0"/>
        <w:shd w:val="clear" w:color="auto" w:fill="auto"/>
        <w:bidi w:val="0"/>
        <w:spacing w:before="0" w:after="0"/>
        <w:ind w:left="40" w:right="40" w:firstLine="540"/>
      </w:pPr>
      <w:r>
        <w:rPr>
          <w:lang w:val="ru-RU" w:eastAsia="ru-RU" w:bidi="ru-RU"/>
          <w:sz w:val="24"/>
          <w:szCs w:val="24"/>
          <w:w w:val="100"/>
          <w:spacing w:val="0"/>
          <w:color w:val="000000"/>
          <w:position w:val="0"/>
        </w:rPr>
        <w:t xml:space="preserve">Кроме того, в отношении товара «Иглодержатель многоразового использования» в </w:t>
      </w:r>
      <w:r>
        <w:rPr>
          <w:rStyle w:val="CharStyle23"/>
        </w:rPr>
        <w:t xml:space="preserve">наименовании характеристики </w:t>
      </w:r>
      <w:r>
        <w:rPr>
          <w:lang w:val="ru-RU" w:eastAsia="ru-RU" w:bidi="ru-RU"/>
          <w:sz w:val="24"/>
          <w:szCs w:val="24"/>
          <w:w w:val="100"/>
          <w:spacing w:val="0"/>
          <w:color w:val="000000"/>
          <w:position w:val="0"/>
        </w:rPr>
        <w:t xml:space="preserve">установлено диапазонное (допустимое) значение показателя товара, а именно - «Твердость твердосплавных вставок </w:t>
      </w:r>
      <w:r>
        <w:rPr>
          <w:rStyle w:val="CharStyle23"/>
        </w:rPr>
        <w:t xml:space="preserve">не ниже 1200 единиц по шкале «Виккерса», </w:t>
      </w:r>
      <w:r>
        <w:rPr>
          <w:lang w:val="ru-RU" w:eastAsia="ru-RU" w:bidi="ru-RU"/>
          <w:sz w:val="24"/>
          <w:szCs w:val="24"/>
          <w:w w:val="100"/>
          <w:spacing w:val="0"/>
          <w:color w:val="000000"/>
          <w:position w:val="0"/>
        </w:rPr>
        <w:t>в то время как в значении характеристики товара установлено «соответствие».</w:t>
      </w:r>
    </w:p>
    <w:p>
      <w:pPr>
        <w:pStyle w:val="Style8"/>
        <w:widowControl w:val="0"/>
        <w:keepNext w:val="0"/>
        <w:keepLines w:val="0"/>
        <w:shd w:val="clear" w:color="auto" w:fill="auto"/>
        <w:bidi w:val="0"/>
        <w:spacing w:before="0" w:after="0"/>
        <w:ind w:left="40" w:right="40" w:firstLine="720"/>
      </w:pPr>
      <w:r>
        <w:rPr>
          <w:lang w:val="ru-RU" w:eastAsia="ru-RU" w:bidi="ru-RU"/>
          <w:sz w:val="24"/>
          <w:szCs w:val="24"/>
          <w:w w:val="100"/>
          <w:spacing w:val="0"/>
          <w:color w:val="000000"/>
          <w:position w:val="0"/>
        </w:rPr>
        <w:t>Таким образом, в наименовании характеристик закупаемых товаров содержатся показатели, требующие конкретизации участниками в составе заявки, что вводит участников закупки в заблуждение, образует формальные основания для отклонения заявок, что признается нарушением части 1 статьи 64 Закона.</w:t>
      </w:r>
      <w:r>
        <w:br w:type="page"/>
      </w:r>
    </w:p>
    <w:p>
      <w:pPr>
        <w:pStyle w:val="Style8"/>
        <w:numPr>
          <w:ilvl w:val="1"/>
          <w:numId w:val="5"/>
        </w:numPr>
        <w:tabs>
          <w:tab w:leader="none" w:pos="1521" w:val="left"/>
        </w:tabs>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Частью 3 статьи 96 Закона установлено, что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Закона о контрактной системе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Закона о контрактной системе.</w:t>
      </w:r>
    </w:p>
    <w:p>
      <w:pPr>
        <w:pStyle w:val="Style8"/>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Однако, в нарушение требований части 3 статьи 96 Закона в пункте 17 аукционной документации, заказчиком установлено, что срок действия банковской гарантии должен превышать срок действия Контракта не менее чем на один месяц.</w:t>
      </w:r>
    </w:p>
    <w:p>
      <w:pPr>
        <w:pStyle w:val="Style8"/>
        <w:widowControl w:val="0"/>
        <w:keepNext w:val="0"/>
        <w:keepLines w:val="0"/>
        <w:shd w:val="clear" w:color="auto" w:fill="auto"/>
        <w:bidi w:val="0"/>
        <w:spacing w:before="0" w:after="306"/>
        <w:ind w:left="20" w:right="0" w:firstLine="700"/>
      </w:pPr>
      <w:r>
        <w:rPr>
          <w:lang w:val="ru-RU" w:eastAsia="ru-RU" w:bidi="ru-RU"/>
          <w:sz w:val="24"/>
          <w:szCs w:val="24"/>
          <w:w w:val="100"/>
          <w:spacing w:val="0"/>
          <w:color w:val="000000"/>
          <w:position w:val="0"/>
        </w:rPr>
        <w:t>Таким образом Заказчиком нарушены требования ч. 3 ст. 96 Закона.</w:t>
      </w:r>
    </w:p>
    <w:p>
      <w:pPr>
        <w:pStyle w:val="Style8"/>
        <w:widowControl w:val="0"/>
        <w:keepNext w:val="0"/>
        <w:keepLines w:val="0"/>
        <w:shd w:val="clear" w:color="auto" w:fill="auto"/>
        <w:bidi w:val="0"/>
        <w:spacing w:before="0" w:after="350" w:line="302" w:lineRule="exact"/>
        <w:ind w:left="20" w:right="20" w:firstLine="700"/>
      </w:pPr>
      <w:r>
        <w:rPr>
          <w:lang w:val="ru-RU" w:eastAsia="ru-RU" w:bidi="ru-RU"/>
          <w:sz w:val="24"/>
          <w:szCs w:val="24"/>
          <w:w w:val="100"/>
          <w:spacing w:val="0"/>
          <w:color w:val="000000"/>
          <w:position w:val="0"/>
        </w:rPr>
        <w:t>На основании Постановления Правительства РФ от 26.08.2013г. № 728, в соответствии с 4.15 ст.99, ч.8 ст. 106 Закона,</w:t>
      </w:r>
    </w:p>
    <w:p>
      <w:pPr>
        <w:pStyle w:val="Style19"/>
        <w:widowControl w:val="0"/>
        <w:keepNext/>
        <w:keepLines/>
        <w:shd w:val="clear" w:color="auto" w:fill="auto"/>
        <w:bidi w:val="0"/>
        <w:spacing w:before="0" w:after="255" w:line="240" w:lineRule="exact"/>
        <w:ind w:left="0" w:right="0" w:firstLine="0"/>
      </w:pPr>
      <w:bookmarkStart w:id="2" w:name="bookmark2"/>
      <w:r>
        <w:rPr>
          <w:lang w:val="ru-RU" w:eastAsia="ru-RU" w:bidi="ru-RU"/>
          <w:sz w:val="24"/>
          <w:szCs w:val="24"/>
          <w:w w:val="100"/>
          <w:spacing w:val="0"/>
          <w:color w:val="000000"/>
          <w:position w:val="0"/>
        </w:rPr>
        <w:t>РЕШИЛА:</w:t>
      </w:r>
      <w:bookmarkEnd w:id="2"/>
    </w:p>
    <w:p>
      <w:pPr>
        <w:pStyle w:val="Style8"/>
        <w:numPr>
          <w:ilvl w:val="0"/>
          <w:numId w:val="7"/>
        </w:numPr>
        <w:widowControl w:val="0"/>
        <w:keepNext w:val="0"/>
        <w:keepLines w:val="0"/>
        <w:shd w:val="clear" w:color="auto" w:fill="auto"/>
        <w:bidi w:val="0"/>
        <w:spacing w:before="0" w:after="0"/>
        <w:ind w:left="720" w:right="0"/>
      </w:pPr>
      <w:r>
        <w:rPr>
          <w:lang w:val="ru-RU" w:eastAsia="ru-RU" w:bidi="ru-RU"/>
          <w:sz w:val="24"/>
          <w:szCs w:val="24"/>
          <w:w w:val="100"/>
          <w:spacing w:val="0"/>
          <w:color w:val="000000"/>
          <w:position w:val="0"/>
        </w:rPr>
        <w:t xml:space="preserve"> Признать жалобу ООО «Аванта-Трейд» необоснованной.</w:t>
      </w:r>
    </w:p>
    <w:p>
      <w:pPr>
        <w:pStyle w:val="Style8"/>
        <w:numPr>
          <w:ilvl w:val="0"/>
          <w:numId w:val="7"/>
        </w:numPr>
        <w:widowControl w:val="0"/>
        <w:keepNext w:val="0"/>
        <w:keepLines w:val="0"/>
        <w:shd w:val="clear" w:color="auto" w:fill="auto"/>
        <w:bidi w:val="0"/>
        <w:spacing w:before="0" w:after="0"/>
        <w:ind w:left="720" w:right="0"/>
      </w:pPr>
      <w:r>
        <w:rPr>
          <w:lang w:val="ru-RU" w:eastAsia="ru-RU" w:bidi="ru-RU"/>
          <w:sz w:val="24"/>
          <w:szCs w:val="24"/>
          <w:w w:val="100"/>
          <w:spacing w:val="0"/>
          <w:color w:val="000000"/>
          <w:position w:val="0"/>
        </w:rPr>
        <w:t xml:space="preserve"> Признать Заказчика нарушившим 4.1 ст. 64, ч. 3 ст. 96 Закона.</w:t>
      </w:r>
    </w:p>
    <w:p>
      <w:pPr>
        <w:pStyle w:val="Style8"/>
        <w:numPr>
          <w:ilvl w:val="0"/>
          <w:numId w:val="7"/>
        </w:numPr>
        <w:widowControl w:val="0"/>
        <w:keepNext w:val="0"/>
        <w:keepLines w:val="0"/>
        <w:shd w:val="clear" w:color="auto" w:fill="auto"/>
        <w:bidi w:val="0"/>
        <w:spacing w:before="0" w:after="0"/>
        <w:ind w:left="720" w:right="20"/>
      </w:pPr>
      <w:r>
        <w:rPr>
          <w:lang w:val="ru-RU" w:eastAsia="ru-RU" w:bidi="ru-RU"/>
          <w:sz w:val="24"/>
          <w:szCs w:val="24"/>
          <w:w w:val="100"/>
          <w:spacing w:val="0"/>
          <w:color w:val="000000"/>
          <w:position w:val="0"/>
        </w:rPr>
        <w:t xml:space="preserve"> Выдать Заказчику, аукционной комиссии Заказчика обязательное для исполнения предписание об отмене всех сформированных протоколов и внесении изменений в аукционную документацию.</w:t>
      </w:r>
    </w:p>
    <w:p>
      <w:pPr>
        <w:pStyle w:val="Style8"/>
        <w:numPr>
          <w:ilvl w:val="0"/>
          <w:numId w:val="7"/>
        </w:numPr>
        <w:widowControl w:val="0"/>
        <w:keepNext w:val="0"/>
        <w:keepLines w:val="0"/>
        <w:shd w:val="clear" w:color="auto" w:fill="auto"/>
        <w:bidi w:val="0"/>
        <w:spacing w:before="0" w:after="0"/>
        <w:ind w:left="720" w:right="20"/>
        <w:sectPr>
          <w:type w:val="continuous"/>
          <w:pgSz w:w="11906" w:h="16838"/>
          <w:pgMar w:top="329" w:left="886" w:right="738" w:bottom="616" w:header="0" w:footer="3" w:gutter="0"/>
          <w:rtlGutter w:val="0"/>
          <w:cols w:space="720"/>
          <w:noEndnote/>
          <w:docGrid w:linePitch="360"/>
        </w:sectPr>
      </w:pPr>
      <w:r>
        <w:rPr>
          <w:lang w:val="ru-RU" w:eastAsia="ru-RU" w:bidi="ru-RU"/>
          <w:sz w:val="24"/>
          <w:szCs w:val="24"/>
          <w:w w:val="100"/>
          <w:spacing w:val="0"/>
          <w:color w:val="000000"/>
          <w:position w:val="0"/>
        </w:rPr>
        <w:t xml:space="preserve"> Рассмотреть вопрос о привлечении к административной ответственности виновных должностных лиц Заказчика.</w:t>
      </w:r>
    </w:p>
    <w:p>
      <w:pPr>
        <w:pStyle w:val="Style8"/>
        <w:framePr w:w="2127" w:h="236" w:wrap="none" w:vAnchor="text" w:hAnchor="margin" w:x="766" w:y="2424"/>
        <w:widowControl w:val="0"/>
        <w:keepNext w:val="0"/>
        <w:keepLines w:val="0"/>
        <w:shd w:val="clear" w:color="auto" w:fill="auto"/>
        <w:bidi w:val="0"/>
        <w:jc w:val="left"/>
        <w:spacing w:before="0" w:after="0" w:line="230" w:lineRule="exact"/>
        <w:ind w:left="100" w:right="0" w:firstLine="0"/>
      </w:pPr>
      <w:r>
        <w:rPr>
          <w:rStyle w:val="CharStyle24"/>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64" w:lineRule="exact"/>
      </w:pPr>
    </w:p>
    <w:p>
      <w:pPr>
        <w:widowControl w:val="0"/>
        <w:rPr>
          <w:sz w:val="2"/>
          <w:szCs w:val="2"/>
        </w:rPr>
      </w:pPr>
    </w:p>
    <w:sectPr>
      <w:type w:val="continuous"/>
      <w:pgSz w:w="11906" w:h="16838"/>
      <w:pgMar w:top="314" w:left="738" w:right="738" w:bottom="31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bCs/>
      <w:i w:val="0"/>
      <w:iCs w:val="0"/>
      <w:u w:val="none"/>
      <w:strike w:val="0"/>
      <w:smallCaps w:val="0"/>
      <w:sz w:val="18"/>
      <w:szCs w:val="18"/>
      <w:rFonts w:ascii="Times New Roman" w:eastAsia="Times New Roman" w:hAnsi="Times New Roman" w:cs="Times New Roman"/>
      <w:spacing w:val="7"/>
    </w:rPr>
  </w:style>
  <w:style w:type="character" w:customStyle="1" w:styleId="CharStyle5">
    <w:name w:val="Основной текст (4)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9">
    <w:name w:val="Основной текст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3)_"/>
    <w:basedOn w:val="DefaultParagraphFont"/>
    <w:link w:val="Style10"/>
    <w:rPr>
      <w:b/>
      <w:bCs/>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3">
    <w:name w:val="Основной текст"/>
    <w:basedOn w:val="CharStyle9"/>
    <w:rPr>
      <w:lang w:val="ru-RU" w:eastAsia="ru-RU" w:bidi="ru-RU"/>
      <w:sz w:val="24"/>
      <w:szCs w:val="24"/>
      <w:w w:val="100"/>
      <w:spacing w:val="0"/>
      <w:color w:val="000000"/>
      <w:position w:val="0"/>
    </w:rPr>
  </w:style>
  <w:style w:type="character" w:customStyle="1" w:styleId="CharStyle14">
    <w:name w:val="Основной текст"/>
    <w:basedOn w:val="CharStyle9"/>
    <w:rPr>
      <w:lang w:val="en-US" w:eastAsia="en-US" w:bidi="en-US"/>
      <w:u w:val="single"/>
      <w:sz w:val="24"/>
      <w:szCs w:val="24"/>
      <w:w w:val="100"/>
      <w:spacing w:val="0"/>
      <w:color w:val="000000"/>
      <w:position w:val="0"/>
    </w:rPr>
  </w:style>
  <w:style w:type="character" w:customStyle="1" w:styleId="CharStyle15">
    <w:name w:val="Основной текст (3) Exact"/>
    <w:basedOn w:val="DefaultParagraphFont"/>
    <w:rPr>
      <w:b/>
      <w:bCs/>
      <w:i w:val="0"/>
      <w:iCs w:val="0"/>
      <w:u w:val="none"/>
      <w:strike w:val="0"/>
      <w:smallCaps w:val="0"/>
      <w:sz w:val="22"/>
      <w:szCs w:val="22"/>
      <w:rFonts w:ascii="Times New Roman" w:eastAsia="Times New Roman" w:hAnsi="Times New Roman" w:cs="Times New Roman"/>
      <w:spacing w:val="7"/>
    </w:rPr>
  </w:style>
  <w:style w:type="character" w:customStyle="1" w:styleId="CharStyle16">
    <w:name w:val="Основной текст (3) Exact"/>
    <w:basedOn w:val="CharStyle11"/>
    <w:rPr>
      <w:lang w:val="ru-RU" w:eastAsia="ru-RU" w:bidi="ru-RU"/>
      <w:sz w:val="22"/>
      <w:szCs w:val="22"/>
      <w:w w:val="100"/>
      <w:spacing w:val="7"/>
      <w:color w:val="000000"/>
      <w:position w:val="0"/>
    </w:rPr>
  </w:style>
  <w:style w:type="character" w:customStyle="1" w:styleId="CharStyle18">
    <w:name w:val="Заголовок №1_"/>
    <w:basedOn w:val="DefaultParagraphFont"/>
    <w:link w:val="Style17"/>
    <w:rPr>
      <w:b w:val="0"/>
      <w:bCs w:val="0"/>
      <w:i w:val="0"/>
      <w:iCs w:val="0"/>
      <w:u w:val="none"/>
      <w:strike w:val="0"/>
      <w:smallCaps w:val="0"/>
      <w:sz w:val="36"/>
      <w:szCs w:val="36"/>
      <w:rFonts w:ascii="Times New Roman" w:eastAsia="Times New Roman" w:hAnsi="Times New Roman" w:cs="Times New Roman"/>
    </w:rPr>
  </w:style>
  <w:style w:type="character" w:customStyle="1" w:styleId="CharStyle20">
    <w:name w:val="Заголовок №2_"/>
    <w:basedOn w:val="DefaultParagraphFont"/>
    <w:link w:val="Style19"/>
    <w:rPr>
      <w:b/>
      <w:bCs/>
      <w:i w:val="0"/>
      <w:iCs w:val="0"/>
      <w:u w:val="none"/>
      <w:strike w:val="0"/>
      <w:smallCaps w:val="0"/>
      <w:rFonts w:ascii="Times New Roman" w:eastAsia="Times New Roman" w:hAnsi="Times New Roman" w:cs="Times New Roman"/>
    </w:rPr>
  </w:style>
  <w:style w:type="character" w:customStyle="1" w:styleId="CharStyle21">
    <w:name w:val="Основной текст + Курсив,Интервал 1 pt"/>
    <w:basedOn w:val="CharStyle9"/>
    <w:rPr>
      <w:lang w:val="ru-RU" w:eastAsia="ru-RU" w:bidi="ru-RU"/>
      <w:i/>
      <w:iCs/>
      <w:sz w:val="24"/>
      <w:szCs w:val="24"/>
      <w:w w:val="100"/>
      <w:spacing w:val="20"/>
      <w:color w:val="000000"/>
      <w:position w:val="0"/>
    </w:rPr>
  </w:style>
  <w:style w:type="character" w:customStyle="1" w:styleId="CharStyle22">
    <w:name w:val="Основной текст + 10 pt,Полужирный,Курсив,Интервал 1 pt"/>
    <w:basedOn w:val="CharStyle9"/>
    <w:rPr>
      <w:lang w:val="ru-RU" w:eastAsia="ru-RU" w:bidi="ru-RU"/>
      <w:b/>
      <w:bCs/>
      <w:i/>
      <w:iCs/>
      <w:sz w:val="20"/>
      <w:szCs w:val="20"/>
      <w:w w:val="100"/>
      <w:spacing w:val="20"/>
      <w:color w:val="000000"/>
      <w:position w:val="0"/>
    </w:rPr>
  </w:style>
  <w:style w:type="character" w:customStyle="1" w:styleId="CharStyle23">
    <w:name w:val="Основной текст + Полужирный"/>
    <w:basedOn w:val="CharStyle9"/>
    <w:rPr>
      <w:lang w:val="ru-RU" w:eastAsia="ru-RU" w:bidi="ru-RU"/>
      <w:b/>
      <w:bCs/>
      <w:sz w:val="24"/>
      <w:szCs w:val="24"/>
      <w:w w:val="100"/>
      <w:spacing w:val="0"/>
      <w:color w:val="000000"/>
      <w:position w:val="0"/>
    </w:rPr>
  </w:style>
  <w:style w:type="character" w:customStyle="1" w:styleId="CharStyle2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3"/>
    </w:rPr>
  </w:style>
  <w:style w:type="paragraph" w:customStyle="1" w:styleId="Style3">
    <w:name w:val="Основной текст (4)"/>
    <w:basedOn w:val="Normal"/>
    <w:link w:val="CharStyle4"/>
    <w:pPr>
      <w:widowControl w:val="0"/>
      <w:shd w:val="clear" w:color="auto" w:fill="FFFFFF"/>
      <w:jc w:val="center"/>
      <w:spacing w:line="223" w:lineRule="exact"/>
    </w:pPr>
    <w:rPr>
      <w:b/>
      <w:bCs/>
      <w:i w:val="0"/>
      <w:iCs w:val="0"/>
      <w:u w:val="none"/>
      <w:strike w:val="0"/>
      <w:smallCaps w:val="0"/>
      <w:sz w:val="18"/>
      <w:szCs w:val="18"/>
      <w:rFonts w:ascii="Times New Roman" w:eastAsia="Times New Roman" w:hAnsi="Times New Roman" w:cs="Times New Roman"/>
      <w:spacing w:val="7"/>
    </w:rPr>
  </w:style>
  <w:style w:type="paragraph" w:customStyle="1" w:styleId="Style6">
    <w:name w:val="Основной текст (2)"/>
    <w:basedOn w:val="Normal"/>
    <w:link w:val="CharStyle7"/>
    <w:pPr>
      <w:widowControl w:val="0"/>
      <w:shd w:val="clear" w:color="auto" w:fill="FFFFFF"/>
      <w:spacing w:line="310"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both"/>
      <w:spacing w:line="310" w:lineRule="exact"/>
      <w:ind w:hanging="360"/>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spacing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jc w:val="right"/>
      <w:outlineLvl w:val="0"/>
      <w:spacing w:before="30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19">
    <w:name w:val="Заголовок №2"/>
    <w:basedOn w:val="Normal"/>
    <w:link w:val="CharStyle20"/>
    <w:pPr>
      <w:widowControl w:val="0"/>
      <w:shd w:val="clear" w:color="auto" w:fill="FFFFFF"/>
      <w:jc w:val="center"/>
      <w:outlineLvl w:val="1"/>
      <w:spacing w:before="240" w:after="48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