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8" w:after="143"/>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Федеральной антимонопольной службы по Ростовской области</w:t>
      </w:r>
    </w:p>
    <w:p>
      <w:pPr>
        <w:pStyle w:val="Style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Общество с ограниченной ответственностью «Г ермее»</w:t>
      </w:r>
    </w:p>
    <w:p>
      <w:pPr>
        <w:pStyle w:val="Style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Заявитель)</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Уральская, д. 119/1, г. Краснодар 656067</w:t>
      </w:r>
    </w:p>
    <w:p>
      <w:pPr>
        <w:pStyle w:val="Style9"/>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325" w:left="816" w:right="1140" w:bottom="350" w:header="0" w:footer="3" w:gutter="0"/>
          <w:rtlGutter w:val="0"/>
          <w:cols w:num="2" w:space="115"/>
          <w:noEndnote/>
          <w:docGrid w:linePitch="360"/>
        </w:sectPr>
      </w:pPr>
      <w:r>
        <w:rPr>
          <w:lang w:val="en-US" w:eastAsia="en-US" w:bidi="en-US"/>
          <w:w w:val="100"/>
          <w:spacing w:val="0"/>
          <w:color w:val="000000"/>
          <w:position w:val="0"/>
        </w:rPr>
        <w:t xml:space="preserve">Email: </w:t>
      </w:r>
      <w:r>
        <w:fldChar w:fldCharType="begin"/>
      </w:r>
      <w:r>
        <w:rPr>
          <w:rStyle w:val="CharStyle11"/>
        </w:rPr>
        <w:instrText> HYPERLINK "mailto:smimoff-sps@mail.ru" </w:instrText>
      </w:r>
      <w:r>
        <w:fldChar w:fldCharType="separate"/>
      </w:r>
      <w:r>
        <w:rPr>
          <w:rStyle w:val="Hyperlink"/>
        </w:rPr>
        <w:t>smimoff-sps@mail.ru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(961) 508-44-55 ИНН: 2308200214</w:t>
      </w:r>
    </w:p>
    <w:p>
      <w:pPr>
        <w:widowControl w:val="0"/>
        <w:spacing w:line="183"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42"/>
        <w:ind w:left="0" w:right="0" w:firstLine="0"/>
      </w:pPr>
      <w:r>
        <w:rPr>
          <w:rStyle w:val="CharStyle14"/>
        </w:rPr>
        <w:t xml:space="preserve">пр. Ворошиловский. 2/2. офнс 403 г. Ростов-на-Дону, 344006 тел. (863) 263-31-04.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15"/>
        <w:widowControl w:val="0"/>
        <w:keepNext w:val="0"/>
        <w:keepLines w:val="0"/>
        <w:shd w:val="clear" w:color="auto" w:fill="auto"/>
        <w:bidi w:val="0"/>
        <w:spacing w:before="0" w:after="223" w:line="260" w:lineRule="exact"/>
        <w:ind w:left="20" w:right="0" w:firstLine="0"/>
      </w:pPr>
      <w:r>
        <w:rPr>
          <w:rStyle w:val="CharStyle17"/>
          <w:i/>
          <w:iCs/>
        </w:rPr>
        <w:t>ко</w:t>
      </w:r>
    </w:p>
    <w:p>
      <w:pPr>
        <w:pStyle w:val="Style18"/>
        <w:tabs>
          <w:tab w:leader="none" w:pos="2041" w:val="right"/>
        </w:tabs>
        <w:widowControl w:val="0"/>
        <w:keepNext w:val="0"/>
        <w:keepLines w:val="0"/>
        <w:shd w:val="clear" w:color="auto" w:fill="auto"/>
        <w:bidi w:val="0"/>
        <w:spacing w:before="0" w:after="0" w:line="220" w:lineRule="exact"/>
        <w:ind w:left="0" w:right="0" w:firstLine="0"/>
      </w:pPr>
      <w:r>
        <w:rPr>
          <w:rStyle w:val="CharStyle20"/>
        </w:rPr>
        <w:t>На №</w:t>
        <w:tab/>
        <w:t>от</w:t>
      </w:r>
    </w:p>
    <w:p>
      <w:pPr>
        <w:pStyle w:val="Style6"/>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Муниципальное казенное учреждение города Новошахтинска «Управление капитального строительства» (далее - Заказчик)</w:t>
      </w:r>
    </w:p>
    <w:p>
      <w:pPr>
        <w:pStyle w:val="Style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ул. Харьковская, д. 133, г. Новошахтинск,</w:t>
      </w:r>
    </w:p>
    <w:p>
      <w:pPr>
        <w:pStyle w:val="Style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Ростовская область</w:t>
      </w:r>
    </w:p>
    <w:p>
      <w:pPr>
        <w:pStyle w:val="Style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346900</w:t>
      </w:r>
    </w:p>
    <w:p>
      <w:pPr>
        <w:pStyle w:val="Style9"/>
        <w:widowControl w:val="0"/>
        <w:keepNext w:val="0"/>
        <w:keepLines w:val="0"/>
        <w:shd w:val="clear" w:color="auto" w:fill="auto"/>
        <w:bidi w:val="0"/>
        <w:jc w:val="left"/>
        <w:spacing w:before="0" w:after="0"/>
        <w:ind w:left="0" w:right="0" w:firstLine="0"/>
        <w:sectPr>
          <w:type w:val="continuous"/>
          <w:pgSz w:w="11906" w:h="16838"/>
          <w:pgMar w:top="325" w:left="1345" w:right="1259" w:bottom="350" w:header="0" w:footer="3" w:gutter="0"/>
          <w:rtlGutter w:val="0"/>
          <w:cols w:num="2" w:space="720" w:equalWidth="0">
            <w:col w:w="3528" w:space="965"/>
            <w:col w:w="4810"/>
          </w:cols>
          <w:noEndnote/>
          <w:docGrid w:linePitch="360"/>
        </w:sectPr>
      </w:pPr>
      <w:r>
        <w:rPr>
          <w:lang w:val="en-US" w:eastAsia="en-US" w:bidi="en-US"/>
          <w:w w:val="100"/>
          <w:spacing w:val="0"/>
          <w:color w:val="000000"/>
          <w:position w:val="0"/>
        </w:rPr>
        <w:t xml:space="preserve">Email: </w:t>
      </w:r>
      <w:r>
        <w:fldChar w:fldCharType="begin"/>
      </w:r>
      <w:r>
        <w:rPr>
          <w:rStyle w:val="CharStyle11"/>
        </w:rPr>
        <w:instrText> HYPERLINK "mailto:rspuksnov@mail.ru" </w:instrText>
      </w:r>
      <w:r>
        <w:fldChar w:fldCharType="separate"/>
      </w:r>
      <w:r>
        <w:rPr>
          <w:rStyle w:val="Hyperlink"/>
        </w:rPr>
        <w:t>rspuksnov@mail.ru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692-43-60</w:t>
      </w: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74" w:lineRule="exact"/>
        <w:ind w:left="5020" w:right="580" w:firstLine="0"/>
      </w:pPr>
      <w:r>
        <w:rPr>
          <w:lang w:val="ru-RU" w:eastAsia="ru-RU" w:bidi="ru-RU"/>
          <w:w w:val="100"/>
          <w:spacing w:val="0"/>
          <w:color w:val="000000"/>
          <w:position w:val="0"/>
        </w:rPr>
        <w:t>Правительство Ростовской области (далее - Привлеченное лицо)</w:t>
      </w:r>
    </w:p>
    <w:p>
      <w:pPr>
        <w:pStyle w:val="Style9"/>
        <w:widowControl w:val="0"/>
        <w:keepNext w:val="0"/>
        <w:keepLines w:val="0"/>
        <w:shd w:val="clear" w:color="auto" w:fill="auto"/>
        <w:bidi w:val="0"/>
        <w:jc w:val="left"/>
        <w:spacing w:before="0" w:after="0" w:line="274" w:lineRule="exact"/>
        <w:ind w:left="5020" w:right="360" w:firstLine="0"/>
      </w:pPr>
      <w:r>
        <w:rPr>
          <w:lang w:val="ru-RU" w:eastAsia="ru-RU" w:bidi="ru-RU"/>
          <w:w w:val="100"/>
          <w:spacing w:val="0"/>
          <w:color w:val="000000"/>
          <w:position w:val="0"/>
        </w:rPr>
        <w:t>ул. Социалистическая, д.112, г. Ростов-на-Дону 344050</w:t>
      </w:r>
    </w:p>
    <w:p>
      <w:pPr>
        <w:pStyle w:val="Style9"/>
        <w:widowControl w:val="0"/>
        <w:keepNext w:val="0"/>
        <w:keepLines w:val="0"/>
        <w:shd w:val="clear" w:color="auto" w:fill="auto"/>
        <w:bidi w:val="0"/>
        <w:jc w:val="left"/>
        <w:spacing w:before="0" w:after="240" w:line="274" w:lineRule="exact"/>
        <w:ind w:left="5020" w:right="0" w:firstLine="0"/>
      </w:pPr>
      <w:r>
        <w:rPr>
          <w:lang w:val="en-US" w:eastAsia="en-US" w:bidi="en-US"/>
          <w:w w:val="100"/>
          <w:spacing w:val="0"/>
          <w:color w:val="000000"/>
          <w:position w:val="0"/>
        </w:rPr>
        <w:t xml:space="preserve">Email: </w:t>
      </w:r>
      <w:r>
        <w:fldChar w:fldCharType="begin"/>
      </w:r>
      <w:r>
        <w:rPr>
          <w:rStyle w:val="CharStyle11"/>
        </w:rPr>
        <w:instrText> HYPERLINK "mailto:ufas@donland.ru" </w:instrText>
      </w:r>
      <w:r>
        <w:fldChar w:fldCharType="separate"/>
      </w:r>
      <w:r>
        <w:rPr>
          <w:rStyle w:val="Hyperlink"/>
        </w:rPr>
        <w:t>ufas@donland.ru</w:t>
      </w:r>
      <w:r>
        <w:fldChar w:fldCharType="end"/>
      </w:r>
    </w:p>
    <w:p>
      <w:pPr>
        <w:pStyle w:val="Style6"/>
        <w:widowControl w:val="0"/>
        <w:keepNext w:val="0"/>
        <w:keepLines w:val="0"/>
        <w:shd w:val="clear" w:color="auto" w:fill="auto"/>
        <w:bidi w:val="0"/>
        <w:jc w:val="left"/>
        <w:spacing w:before="0" w:after="0" w:line="274" w:lineRule="exact"/>
        <w:ind w:left="5020" w:right="0" w:firstLine="0"/>
      </w:pPr>
      <w:r>
        <w:rPr>
          <w:lang w:val="ru-RU" w:eastAsia="ru-RU" w:bidi="ru-RU"/>
          <w:w w:val="100"/>
          <w:spacing w:val="0"/>
          <w:color w:val="000000"/>
          <w:position w:val="0"/>
        </w:rPr>
        <w:t>Акционерное общество «ЕЭТП»</w:t>
      </w:r>
    </w:p>
    <w:p>
      <w:pPr>
        <w:pStyle w:val="Style6"/>
        <w:widowControl w:val="0"/>
        <w:keepNext w:val="0"/>
        <w:keepLines w:val="0"/>
        <w:shd w:val="clear" w:color="auto" w:fill="auto"/>
        <w:bidi w:val="0"/>
        <w:jc w:val="left"/>
        <w:spacing w:before="0" w:after="0" w:line="274" w:lineRule="exact"/>
        <w:ind w:left="5020" w:right="0" w:firstLine="0"/>
      </w:pPr>
      <w:r>
        <w:rPr>
          <w:lang w:val="ru-RU" w:eastAsia="ru-RU" w:bidi="ru-RU"/>
          <w:w w:val="100"/>
          <w:spacing w:val="0"/>
          <w:color w:val="000000"/>
          <w:position w:val="0"/>
        </w:rPr>
        <w:t>(далее - Оператор электронной площадки)</w:t>
      </w:r>
    </w:p>
    <w:p>
      <w:pPr>
        <w:pStyle w:val="Style9"/>
        <w:widowControl w:val="0"/>
        <w:keepNext w:val="0"/>
        <w:keepLines w:val="0"/>
        <w:shd w:val="clear" w:color="auto" w:fill="auto"/>
        <w:bidi w:val="0"/>
        <w:jc w:val="left"/>
        <w:spacing w:before="0" w:after="480" w:line="274" w:lineRule="exact"/>
        <w:ind w:left="5020" w:right="0" w:firstLine="0"/>
      </w:pPr>
      <w:r>
        <w:rPr>
          <w:lang w:val="en-US" w:eastAsia="en-US" w:bidi="en-US"/>
          <w:w w:val="100"/>
          <w:spacing w:val="0"/>
          <w:color w:val="000000"/>
          <w:position w:val="0"/>
        </w:rPr>
        <w:t xml:space="preserve">Email: </w:t>
      </w:r>
      <w:r>
        <w:fldChar w:fldCharType="begin"/>
      </w:r>
      <w:r>
        <w:rPr>
          <w:rStyle w:val="CharStyle11"/>
        </w:rPr>
        <w:instrText> HYPERLINK "mailto:info@roseltorg.ru" </w:instrText>
      </w:r>
      <w:r>
        <w:fldChar w:fldCharType="separate"/>
      </w:r>
      <w:r>
        <w:rPr>
          <w:rStyle w:val="Hyperlink"/>
        </w:rPr>
        <w:t>info@roseltorg.ru</w:t>
      </w:r>
      <w:r>
        <w:fldChar w:fldCharType="end"/>
      </w:r>
    </w:p>
    <w:p>
      <w:pPr>
        <w:pStyle w:val="Style6"/>
        <w:widowControl w:val="0"/>
        <w:keepNext w:val="0"/>
        <w:keepLines w:val="0"/>
        <w:shd w:val="clear" w:color="auto" w:fill="auto"/>
        <w:bidi w:val="0"/>
        <w:spacing w:before="0" w:after="0" w:line="274" w:lineRule="exact"/>
        <w:ind w:left="320" w:right="0" w:firstLine="0"/>
      </w:pPr>
      <w:r>
        <w:rPr>
          <w:lang w:val="ru-RU" w:eastAsia="ru-RU" w:bidi="ru-RU"/>
          <w:w w:val="100"/>
          <w:spacing w:val="0"/>
          <w:color w:val="000000"/>
          <w:position w:val="0"/>
        </w:rPr>
        <w:t>РЕШЕНИЕ по результатам рассмотрения дела №061/06/54.7-1754/2021</w:t>
      </w:r>
    </w:p>
    <w:p>
      <w:pPr>
        <w:pStyle w:val="Style9"/>
        <w:numPr>
          <w:ilvl w:val="0"/>
          <w:numId w:val="1"/>
        </w:numPr>
        <w:tabs>
          <w:tab w:leader="none" w:pos="8232" w:val="right"/>
          <w:tab w:leader="none" w:pos="9886" w:val="right"/>
          <w:tab w:leader="none" w:pos="8088" w:val="left"/>
        </w:tabs>
        <w:widowControl w:val="0"/>
        <w:keepNext w:val="0"/>
        <w:keepLines w:val="0"/>
        <w:shd w:val="clear" w:color="auto" w:fill="auto"/>
        <w:bidi w:val="0"/>
        <w:jc w:val="both"/>
        <w:spacing w:before="0" w:after="237" w:line="274" w:lineRule="exact"/>
        <w:ind w:left="20" w:right="0" w:firstLine="0"/>
      </w:pPr>
      <w:r>
        <w:rPr>
          <w:lang w:val="ru-RU" w:eastAsia="ru-RU" w:bidi="ru-RU"/>
          <w:w w:val="100"/>
          <w:spacing w:val="0"/>
          <w:color w:val="000000"/>
          <w:position w:val="0"/>
        </w:rPr>
        <w:t>г.</w:t>
        <w:tab/>
        <w:t>Ростов-на-Дону</w:t>
      </w:r>
    </w:p>
    <w:p>
      <w:pPr>
        <w:pStyle w:val="Style9"/>
        <w:widowControl w:val="0"/>
        <w:keepNext w:val="0"/>
        <w:keepLines w:val="0"/>
        <w:shd w:val="clear" w:color="auto" w:fill="auto"/>
        <w:bidi w:val="0"/>
        <w:jc w:val="both"/>
        <w:spacing w:before="0" w:after="0"/>
        <w:ind w:left="20" w:right="360" w:firstLine="7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9"/>
        <w:tabs>
          <w:tab w:leader="none" w:pos="8660" w:val="right"/>
          <w:tab w:leader="none" w:pos="9886"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Председатель Комиссии:</w:t>
        <w:tab/>
        <w:t>М.А.</w:t>
        <w:tab/>
        <w:t>Благодарев,</w:t>
      </w:r>
    </w:p>
    <w:p>
      <w:pPr>
        <w:pStyle w:val="Style9"/>
        <w:tabs>
          <w:tab w:leader="none" w:pos="9886"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Члены Комиссии:</w:t>
        <w:tab/>
        <w:t>С.А. Иванкова,</w:t>
      </w:r>
    </w:p>
    <w:p>
      <w:pPr>
        <w:pStyle w:val="Style9"/>
        <w:widowControl w:val="0"/>
        <w:keepNext w:val="0"/>
        <w:keepLines w:val="0"/>
        <w:shd w:val="clear" w:color="auto" w:fill="auto"/>
        <w:bidi w:val="0"/>
        <w:jc w:val="left"/>
        <w:spacing w:before="0" w:after="274" w:line="230" w:lineRule="exact"/>
        <w:ind w:left="8160" w:right="0" w:firstLine="0"/>
      </w:pPr>
      <w:r>
        <w:rPr>
          <w:lang w:val="ru-RU" w:eastAsia="ru-RU" w:bidi="ru-RU"/>
          <w:w w:val="100"/>
          <w:spacing w:val="0"/>
          <w:color w:val="000000"/>
          <w:position w:val="0"/>
        </w:rPr>
        <w:t>Ю.Р. Дедух,</w:t>
      </w:r>
    </w:p>
    <w:p>
      <w:pPr>
        <w:pStyle w:val="Style9"/>
        <w:widowControl w:val="0"/>
        <w:keepNext w:val="0"/>
        <w:keepLines w:val="0"/>
        <w:shd w:val="clear" w:color="auto" w:fill="auto"/>
        <w:bidi w:val="0"/>
        <w:jc w:val="both"/>
        <w:spacing w:before="0" w:after="408" w:line="270" w:lineRule="exact"/>
        <w:ind w:left="20" w:right="360" w:firstLine="0"/>
      </w:pPr>
      <w:r>
        <w:rPr>
          <w:lang w:val="ru-RU" w:eastAsia="ru-RU" w:bidi="ru-RU"/>
          <w:w w:val="100"/>
          <w:spacing w:val="0"/>
          <w:color w:val="000000"/>
          <w:position w:val="0"/>
        </w:rPr>
        <w:t xml:space="preserve">рассмотрев дело №061/06/54.7-1754/2021 по жалобе Заявителя о нарушении конкурсной комиссией Муниципального казенного учреждения города Новошахтинска «Управление капитального строительства» при проведении открытого конкурса в электронной форме №0858300001721000005 «Выполнение мероприятий по сносу расселенных ветхих многоквартирных домов по ул. Батурина, 6, ул. Волна Революции, 41, ул. Карла Маркса, 38, ул. Карла Маркса, 40, ул. Карла Маркса, 42, ул. Карла Маркса, 44, ул. Карла Маркса, 46, ул. Карла Маркса, 54, ул. Карла Маркса, 56, ул. Киевская, 14, </w:t>
      </w:r>
      <w:r>
        <w:rPr>
          <w:rStyle w:val="CharStyle22"/>
        </w:rPr>
        <w:t xml:space="preserve">ул. Киевская, </w:t>
      </w:r>
      <w:r>
        <w:rPr>
          <w:lang w:val="ru-RU" w:eastAsia="ru-RU" w:bidi="ru-RU"/>
          <w:w w:val="100"/>
          <w:spacing w:val="0"/>
          <w:color w:val="000000"/>
          <w:position w:val="0"/>
        </w:rPr>
        <w:t xml:space="preserve">16, </w:t>
      </w:r>
      <w:r>
        <w:rPr>
          <w:rStyle w:val="CharStyle22"/>
        </w:rPr>
        <w:t xml:space="preserve">ул. Киевская, </w:t>
      </w:r>
      <w:r>
        <w:rPr>
          <w:lang w:val="ru-RU" w:eastAsia="ru-RU" w:bidi="ru-RU"/>
          <w:w w:val="100"/>
          <w:spacing w:val="0"/>
          <w:color w:val="000000"/>
          <w:position w:val="0"/>
        </w:rPr>
        <w:t xml:space="preserve">18, </w:t>
      </w:r>
      <w:r>
        <w:rPr>
          <w:rStyle w:val="CharStyle22"/>
        </w:rPr>
        <w:t xml:space="preserve">ул. </w:t>
      </w:r>
      <w:r>
        <w:rPr>
          <w:lang w:val="ru-RU" w:eastAsia="ru-RU" w:bidi="ru-RU"/>
          <w:w w:val="100"/>
          <w:spacing w:val="0"/>
          <w:color w:val="000000"/>
          <w:position w:val="0"/>
        </w:rPr>
        <w:t>Киевская, 20, ул. Киевская, 22, ул. Киевская, 24, ул. Кузнецкая, 7, ул. Кузнецкая, 9, ул. Молодогвардейцев, 7а, ул. Молодогвардейцев, 45, ул. Нахимова, 8, ул. Рабоче-Крестьянская, 9, ул. Рабоче-Крестьянская, 13, ул. Рабоче-Крестьянская, 14, ул. Рабоче-Крестьянская, 15 в городе</w:t>
      </w:r>
    </w:p>
    <w:p>
      <w:pPr>
        <w:pStyle w:val="Style23"/>
        <w:widowControl w:val="0"/>
        <w:keepNext/>
        <w:keepLines/>
        <w:shd w:val="clear" w:color="auto" w:fill="auto"/>
        <w:bidi w:val="0"/>
        <w:spacing w:before="0" w:after="0" w:line="360" w:lineRule="exact"/>
        <w:ind w:left="0" w:right="260" w:firstLine="0"/>
      </w:pPr>
      <w:bookmarkStart w:id="0" w:name="bookmark0"/>
      <w:r>
        <w:rPr>
          <w:lang w:val="ru-RU" w:eastAsia="ru-RU" w:bidi="ru-RU"/>
          <w:w w:val="100"/>
          <w:spacing w:val="0"/>
          <w:color w:val="000000"/>
          <w:position w:val="0"/>
        </w:rPr>
        <w:t>017966</w:t>
      </w:r>
      <w:bookmarkEnd w:id="0"/>
      <w:r>
        <w:br w:type="page"/>
      </w:r>
    </w:p>
    <w:p>
      <w:pPr>
        <w:pStyle w:val="Style9"/>
        <w:widowControl w:val="0"/>
        <w:keepNext w:val="0"/>
        <w:keepLines w:val="0"/>
        <w:shd w:val="clear" w:color="auto" w:fill="auto"/>
        <w:bidi w:val="0"/>
        <w:jc w:val="both"/>
        <w:spacing w:before="0" w:after="278"/>
        <w:ind w:left="20" w:right="20" w:firstLine="0"/>
      </w:pPr>
      <w:r>
        <w:rPr>
          <w:lang w:val="ru-RU" w:eastAsia="ru-RU" w:bidi="ru-RU"/>
          <w:w w:val="100"/>
          <w:spacing w:val="0"/>
          <w:color w:val="000000"/>
          <w:position w:val="0"/>
        </w:rPr>
        <w:t>Новошахтинске»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 доверенности - Григорьевой О.А. (доверенность от 11.10.2021 №4), при участии представителя Заказчика по доверенности - Голубевой О.В. (доверенность от 22.10.2021 №336), при участии представителя участника закупки (ИП Гогорян С.С.) - Джанполадовой Е.Г. (доверенность от 22.10.2021 №4),</w:t>
      </w:r>
    </w:p>
    <w:p>
      <w:pPr>
        <w:pStyle w:val="Style25"/>
        <w:widowControl w:val="0"/>
        <w:keepNext/>
        <w:keepLines/>
        <w:shd w:val="clear" w:color="auto" w:fill="auto"/>
        <w:bidi w:val="0"/>
        <w:spacing w:before="0" w:after="204"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Ростовское УФАС России поступила жалоба ООО «Гермес» на действия конкурсной комиссии Муниципального казенного учреждения города Новошахтинска «Управление капитального строительства». По мнению Заявителя, конкурсной комиссией допущены нарушения требований законодательства о контрактной системе и положений документации, определяющих порядок оценки заявок.</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 в возражениях на жалобу и в дополнениях к возражениям (от 22.10.2021 №337, от 25.10.2021 №339 соответственно):</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-признал допущенную техническую ошибку при заполнении протокола рассмотрения и оценки вторых частей заявок;</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-указал, что участник закупки ООО «Гермес» не соответствует требованиям документации;</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-представил пояснения по доводу жалобы.</w:t>
      </w:r>
    </w:p>
    <w:p>
      <w:pPr>
        <w:pStyle w:val="Style9"/>
        <w:widowControl w:val="0"/>
        <w:keepNext w:val="0"/>
        <w:keepLines w:val="0"/>
        <w:shd w:val="clear" w:color="auto" w:fill="auto"/>
        <w:bidi w:val="0"/>
        <w:jc w:val="both"/>
        <w:spacing w:before="0" w:after="234"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9"/>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Согласно «Извещению о проведении открытого конкурса в электронной форме» №0858300001721000005:</w:t>
      </w:r>
    </w:p>
    <w:p>
      <w:pPr>
        <w:pStyle w:val="Style9"/>
        <w:widowControl w:val="0"/>
        <w:keepNext w:val="0"/>
        <w:keepLines w:val="0"/>
        <w:shd w:val="clear" w:color="auto" w:fill="auto"/>
        <w:bidi w:val="0"/>
        <w:jc w:val="both"/>
        <w:spacing w:before="0" w:after="3" w:line="230" w:lineRule="exact"/>
        <w:ind w:left="20" w:right="0" w:firstLine="720"/>
      </w:pPr>
      <w:r>
        <w:rPr>
          <w:lang w:val="ru-RU" w:eastAsia="ru-RU" w:bidi="ru-RU"/>
          <w:w w:val="100"/>
          <w:spacing w:val="0"/>
          <w:color w:val="000000"/>
          <w:position w:val="0"/>
        </w:rPr>
        <w:t>-установлены дата и время окончания подачи заявок - 06.10.2021 09:00;</w:t>
      </w:r>
    </w:p>
    <w:p>
      <w:pPr>
        <w:pStyle w:val="Style9"/>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-начальная (максимальная) цена контракта (НМЦК) составила 28 793 797,00 рублей;</w:t>
      </w:r>
    </w:p>
    <w:p>
      <w:pPr>
        <w:pStyle w:val="Style9"/>
        <w:widowControl w:val="0"/>
        <w:keepNext w:val="0"/>
        <w:keepLines w:val="0"/>
        <w:shd w:val="clear" w:color="auto" w:fill="auto"/>
        <w:bidi w:val="0"/>
        <w:jc w:val="both"/>
        <w:spacing w:before="0" w:after="237"/>
        <w:ind w:left="20" w:right="20" w:firstLine="720"/>
      </w:pPr>
      <w:r>
        <w:rPr>
          <w:lang w:val="ru-RU" w:eastAsia="ru-RU" w:bidi="ru-RU"/>
          <w:w w:val="100"/>
          <w:spacing w:val="0"/>
          <w:color w:val="000000"/>
          <w:position w:val="0"/>
        </w:rPr>
        <w:t xml:space="preserve">В рамках реализации национального проекта «Жилье и городская среда» Заказчиком в Единой информационной системе (ЕИС) на официальном сайте </w:t>
      </w:r>
      <w:r>
        <w:fldChar w:fldCharType="begin"/>
      </w:r>
      <w:r>
        <w:rPr>
          <w:rStyle w:val="CharStyle11"/>
        </w:rPr>
        <w:instrText> HYPERLINK "http://www.zakupki.gov.ru" </w:instrText>
      </w:r>
      <w:r>
        <w:fldChar w:fldCharType="separate"/>
      </w:r>
      <w:r>
        <w:rPr>
          <w:rStyle w:val="Hyperlink"/>
        </w:rPr>
        <w:t>www.zakupki</w:t>
      </w:r>
      <w:r>
        <w:rPr>
          <w:rStyle w:val="Hyperlink"/>
          <w:lang w:val="ru-RU" w:eastAsia="ru-RU" w:bidi="ru-RU"/>
        </w:rPr>
        <w:t>.</w:t>
      </w:r>
      <w:r>
        <w:rPr>
          <w:rStyle w:val="Hyperlink"/>
        </w:rPr>
        <w:t>gov.ru</w:t>
      </w:r>
      <w:r>
        <w:fldChar w:fldCharType="end"/>
      </w:r>
      <w:r>
        <w:rPr>
          <w:lang w:val="en-US" w:eastAsia="en-US" w:bidi="en-US"/>
          <w:w w:val="100"/>
          <w:spacing w:val="0"/>
          <w:color w:val="000000"/>
          <w:position w:val="0"/>
        </w:rPr>
        <w:t xml:space="preserve"> 06.09.2021 </w:t>
      </w:r>
      <w:r>
        <w:rPr>
          <w:lang w:val="ru-RU" w:eastAsia="ru-RU" w:bidi="ru-RU"/>
          <w:w w:val="100"/>
          <w:spacing w:val="0"/>
          <w:color w:val="000000"/>
          <w:position w:val="0"/>
        </w:rPr>
        <w:t>размещены извещение и документация к открытому конкурсу.</w:t>
      </w:r>
    </w:p>
    <w:p>
      <w:pPr>
        <w:pStyle w:val="Style9"/>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Согласно доводу жалобы, конкурсной комиссией неправомерно принято к оценке по нестоимостному критерию оценки только 6 (шесть) контрактов и договоров из 22 (двадцати двух) представленных в заявке.</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ч.З ст.54.7 Закона конкурсной комиссией на основании результатов рассмотрения вторых частей заявок, документов и информации, предусмотренных 4.11 ст.24.1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2 ч.4 ст.54.7 Закона определено, что заявка на участие в открытом конкурсе в электронной форме признается не соответствующей требованиям, установленным конкурсной документацией в случае наличия в документах и информации, предусмотренных ч.11 ст.24.1, ч.4 и 6 ст.54.4 настоящего Федерального закона, недостоверной информации на дату и время рассмотрения вторых частей заявок на участие в таком конкурсе.</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Частью 6 ст.54.7 Закона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Пунктом 41 конкурсной документации определен порядок оценки заявок по нестоимостному критерию оценки:</w:t>
      </w:r>
    </w:p>
    <w:p>
      <w:pPr>
        <w:pStyle w:val="Style27"/>
        <w:widowControl w:val="0"/>
        <w:keepNext w:val="0"/>
        <w:keepLines w:val="0"/>
        <w:shd w:val="clear" w:color="auto" w:fill="auto"/>
        <w:bidi w:val="0"/>
        <w:spacing w:before="0" w:after="0"/>
        <w:ind w:left="40" w:right="20"/>
      </w:pPr>
      <w:r>
        <w:rPr>
          <w:lang w:val="ru-RU" w:eastAsia="ru-RU" w:bidi="ru-RU"/>
          <w:w w:val="100"/>
          <w:spacing w:val="0"/>
          <w:color w:val="000000"/>
          <w:position w:val="0"/>
        </w:rPr>
        <w:t>«В качестве документов, подтверждающих квалификацию участника закупки по данному показателю, участник предоставляет во второй части заявки на участие в открытом конкурсе в электронной форме: копию контракта (договора) (включая изменения и/или дополнительные соглашения к этому контракту (договору) при наличии таковых), копию акта (актов) сдачи-приемки выполненных работ (с учетом предоставления всех актов, в том числе итогового) в отношении предоставленной копии контракта (договора) (согласно установленному показателю). Предоставляемые участником документы (копии таких документов) по данному показателю оценки должны содержать все обязательные реквизиты, установленные ч. 2 ст. 9 Федерального закона от 06.12.2011 г. №402-ФЗ «О бухгалтерском учете».</w:t>
      </w:r>
    </w:p>
    <w:p>
      <w:pPr>
        <w:pStyle w:val="Style27"/>
        <w:widowControl w:val="0"/>
        <w:keepNext w:val="0"/>
        <w:keepLines w:val="0"/>
        <w:shd w:val="clear" w:color="auto" w:fill="auto"/>
        <w:bidi w:val="0"/>
        <w:spacing w:before="0" w:after="0"/>
        <w:ind w:left="40" w:right="20"/>
      </w:pPr>
      <w:r>
        <w:rPr>
          <w:lang w:val="ru-RU" w:eastAsia="ru-RU" w:bidi="ru-RU"/>
          <w:w w:val="100"/>
          <w:spacing w:val="0"/>
          <w:color w:val="000000"/>
          <w:position w:val="0"/>
        </w:rPr>
        <w:t>Успешным опытом исполнения договоров (контрактов) считается исполнение каждого договора (контракта).</w:t>
      </w:r>
    </w:p>
    <w:p>
      <w:pPr>
        <w:pStyle w:val="Style27"/>
        <w:widowControl w:val="0"/>
        <w:keepNext w:val="0"/>
        <w:keepLines w:val="0"/>
        <w:shd w:val="clear" w:color="auto" w:fill="auto"/>
        <w:bidi w:val="0"/>
        <w:spacing w:before="0" w:after="0"/>
        <w:ind w:left="40" w:right="20"/>
      </w:pPr>
      <w:r>
        <w:rPr>
          <w:lang w:val="ru-RU" w:eastAsia="ru-RU" w:bidi="ru-RU"/>
          <w:w w:val="100"/>
          <w:spacing w:val="0"/>
          <w:color w:val="000000"/>
          <w:position w:val="0"/>
        </w:rPr>
        <w:t>Сопоставимым характером и объемом исполнения контракта считается исполненный договор (контракт) по предметом которого является выполнение работ по строительству, реконструкции, капитальному ремонту, сносу объекта капитального строительства по виду: объекты капитального строительства (за исключением линейных объектов) за период с 06.09.2016 по 06.09.2021 гг. (контракты (договора) должны быть исполнены в указанный период) с ценой договора (контракта) от 2 ООО 000,00руб. (двух миллионов рублей 00 копеек).».</w:t>
      </w:r>
    </w:p>
    <w:p>
      <w:pPr>
        <w:pStyle w:val="Style9"/>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В соответствии с информацией, изложенной в протоколе рассмотрения и оценки заявок от</w:t>
      </w:r>
    </w:p>
    <w:p>
      <w:pPr>
        <w:pStyle w:val="Style9"/>
        <w:numPr>
          <w:ilvl w:val="0"/>
          <w:numId w:val="3"/>
        </w:numPr>
        <w:tabs>
          <w:tab w:leader="none" w:pos="1310" w:val="left"/>
        </w:tabs>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ООО «Гермес» представлено 6 (шесть) договоров, все из которых приняты к оценке. Сведений о несоответствии контрактов/договоров требованиям документации и, соответственно, отказе в их оценке (как, например, в отношении заявки ООО «Техносервис») в отношении заявки ООО «Гермес» протокол от 13.10.2021 не содержит.</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Согласно информации, представленной Оператором электронной площадки, ООО «Гермес» в составе второй части заявки направило 22 (двадцать два) договора/контракта. Данный факт Заказчиком не отрицается, по данному обстоятельству в возражениях указано на допущенную техническую ошибку: </w:t>
      </w:r>
      <w:r>
        <w:rPr>
          <w:rStyle w:val="CharStyle29"/>
        </w:rPr>
        <w:t>«скопированы данные из п. 7.5 протокола, в котором также были указаны 6 контрактов»</w:t>
      </w:r>
      <w:r>
        <w:rPr>
          <w:lang w:val="ru-RU" w:eastAsia="ru-RU" w:bidi="ru-RU"/>
          <w:w w:val="100"/>
          <w:spacing w:val="0"/>
          <w:color w:val="000000"/>
          <w:position w:val="0"/>
        </w:rPr>
        <w:t xml:space="preserve"> (стр.2 возражений).</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Таким образом, конкурсной комиссией допущено нарушение требований конкурсной документации и положений ч.б ст.54.7 Закона, поскольку представленные участником документы для оценки его квалификации не исследованы и не оценены. Довод жалобы обоснован.</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В возражениях на жалобу также указано, что заявка ООО «Гермес» должна была быть признана несоответствующей требованиям документации по причине наличия в документах, предоставленных в соответствии с ч.11 ст.24.1, ч.4,6 ст.54.3 Закона, недостоверной информации. Недостоверной информацией Заказчик считает решение об одобрении крупной сделки, срок действия которого истек, при этом </w:t>
      </w:r>
      <w:r>
        <w:rPr>
          <w:rStyle w:val="CharStyle29"/>
        </w:rPr>
        <w:t>«иных документов по одобрению сделок заявка общества не содержит»</w:t>
      </w:r>
      <w:r>
        <w:rPr>
          <w:lang w:val="ru-RU" w:eastAsia="ru-RU" w:bidi="ru-RU"/>
          <w:w w:val="100"/>
          <w:spacing w:val="0"/>
          <w:color w:val="000000"/>
          <w:position w:val="0"/>
        </w:rPr>
        <w:t xml:space="preserve"> (стр.2 возражений).</w:t>
      </w:r>
    </w:p>
    <w:p>
      <w:pPr>
        <w:pStyle w:val="Style9"/>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Комиссия отклоняет доводы Заказчика в силу следующего.</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В соответствии с п.1 ст.46 Федерального закона от 08.02.1998 №14-ФЗ «Об обществах с ограниченной ответственностью» (далее - 14-ФЗ) крупной сделкой считается сделка (несколько взаимосвязанных сделок), выходящая за пределы обычной хозяйственной деятельности и при этом:</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-связанная с приобретением, отчуждением или возможностью отчуждения обществом прямо либо косвенно имущества (в том числе заем, кредит, залог, поручительство, приобретение такого количества акций (иных эмиссионных ценных бумаг, конвертируемых в акции) публичного общества, в результате которых у общества возникает обязанность направить обязательное предложение в соответствии с главой XI. 1 Федерального закона от 26.12.1995 №208-ФЗ «Об акционерных обществах»), цена или балансовая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-предусматривающая обязанность общества передать имущество во временное владение и (или)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 если их балансовая стоимость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 этом, абз.1 п.7 ст.46 14-ФЗ регламентирует, что положения настоящей статьи не применяются к обществам, состоящим из одного участника, который одновременно является единственным лицом, обладающим полномочиями единоличного исполнительного органа общества.</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сведениям, размещенным в ЕГРЮЛ, Смирнов П.С. является единственным участником/учредителем общества с ограниченной ответственностью «Гермес». Смирнов П.С. также является лицом, обладающим полномочиями единоличного исполнительного органа общества. Следовательно, такому юридическому лицу не требуется решение об одобрении крупной сделки.</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Данный вывод поддерживается судебной практикой: Постановление Арбитражного суда Западно-Сибирского округа от 09.08.2021 по делу №А45-9523/2020, Постановление Арбитражного суда Уральского округа от 21.06.2021 по делу №А60-21826/2020, Постановление Арбитражного суда Волго-Вятского округа от 22.06.2020 по делу №А11-7666/2019.</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Наряду с изложенным Комиссией принято во внимание, что Заказчик, ссылаясь на то, что заключение контракта по итогам рассматриваемой для ООО «Гермес» является крупной сделкой, данный факт не доказал.</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Постановлении Пленума Верховного Суда РФ от 26.06.2018 №27 выражена правовая позиция, согласно которой для квалификации сделки как крупной необходимо одновременное наличие у сделки на момент ее совершения двух признаков:</w:t>
      </w:r>
    </w:p>
    <w:p>
      <w:pPr>
        <w:pStyle w:val="Style9"/>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количественного (стоимостного): предметом сделки является имущество, в том числе права на результаты интеллектуальной деятельности и приравненные к ним средства индивидуализации, цена или балансовая стоимость (а в случае передачи имущества во временное владение и (или) пользование, заключения лицензионного договора - балансовая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pPr>
        <w:pStyle w:val="Style9"/>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качественного: сделка выходит за пределы обычной хозяйственной деятельности, т.е. совершение сделки приведет к прекращению деятельности общества или изменению ее вида либо существенному изменению ее масштабов. Например, к наступлению таких последствий может привести продажа (передача в аренду) основного производственного актива общества. Сделка также может быть квалифицирована как влекущая существенное изменение масштабов деятельности общества, если она влечет для общества существенное изменение региона деятельности или рынков сбыта.</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Верховный Суд РФ отметил, что, устанавливая наличие данного критерия, следует учитывать, что он должен иметь место на момент совершения сделки, а последующее наступление таких последствий само по себе не свидетельствует о том, что их причиной стала соответствующая сделка и что такая сделка выходила за пределы обычной хозяйственной деятельности. При оценке возможности наступления таких последствий на момент совершения</w:t>
      </w:r>
      <w:r>
        <w:br w:type="page"/>
      </w:r>
    </w:p>
    <w:p>
      <w:pPr>
        <w:pStyle w:val="Style9"/>
        <w:widowControl w:val="0"/>
        <w:keepNext w:val="0"/>
        <w:keepLines w:val="0"/>
        <w:shd w:val="clear" w:color="auto" w:fill="auto"/>
        <w:bidi w:val="0"/>
        <w:jc w:val="both"/>
        <w:spacing w:before="0" w:after="0"/>
        <w:ind w:left="20" w:right="200" w:firstLine="0"/>
      </w:pPr>
      <w:r>
        <w:rPr>
          <w:lang w:val="ru-RU" w:eastAsia="ru-RU" w:bidi="ru-RU"/>
          <w:w w:val="100"/>
          <w:spacing w:val="0"/>
          <w:color w:val="000000"/>
          <w:position w:val="0"/>
        </w:rPr>
        <w:t>сделки судам следует принимать во внимание не только условия оспариваемой сделки, но также и иные обстоятельства, связанные с деятельностью общества в момент совершения сделки. Например, сделка по приобретению оборудования, которое могло использоваться в рамках уже осуществляемой деятельности, не должна была привести к смене вида деятельности.</w:t>
      </w:r>
    </w:p>
    <w:p>
      <w:pPr>
        <w:pStyle w:val="Style9"/>
        <w:widowControl w:val="0"/>
        <w:keepNext w:val="0"/>
        <w:keepLines w:val="0"/>
        <w:shd w:val="clear" w:color="auto" w:fill="auto"/>
        <w:bidi w:val="0"/>
        <w:jc w:val="both"/>
        <w:spacing w:before="0" w:after="0"/>
        <w:ind w:left="20" w:right="200" w:firstLine="720"/>
      </w:pPr>
      <w:r>
        <w:rPr>
          <w:lang w:val="ru-RU" w:eastAsia="ru-RU" w:bidi="ru-RU"/>
          <w:w w:val="100"/>
          <w:spacing w:val="0"/>
          <w:color w:val="000000"/>
          <w:position w:val="0"/>
        </w:rPr>
        <w:t>Также Верховный Суд РФ указал, что любая сделка общества считается совершенной в пределах обычной хозяйственной деятельности, пока не доказано иное. Бремя доказывания совершения оспариваемой сделки за пределами обычной хозяйственной деятельности лежит на истце.</w:t>
      </w:r>
    </w:p>
    <w:p>
      <w:pPr>
        <w:pStyle w:val="Style9"/>
        <w:widowControl w:val="0"/>
        <w:keepNext w:val="0"/>
        <w:keepLines w:val="0"/>
        <w:shd w:val="clear" w:color="auto" w:fill="auto"/>
        <w:bidi w:val="0"/>
        <w:jc w:val="both"/>
        <w:spacing w:before="0" w:after="0"/>
        <w:ind w:left="20" w:right="200" w:firstLine="720"/>
      </w:pPr>
      <w:r>
        <w:rPr>
          <w:lang w:val="ru-RU" w:eastAsia="ru-RU" w:bidi="ru-RU"/>
          <w:w w:val="100"/>
          <w:spacing w:val="0"/>
          <w:color w:val="000000"/>
          <w:position w:val="0"/>
        </w:rPr>
        <w:t>В настоящем случае Заказчиком не доказано, что заключение контракта по итогам оспариваемой процедуры для ООО «Гермес» является крупной сделкой.</w:t>
      </w:r>
    </w:p>
    <w:p>
      <w:pPr>
        <w:pStyle w:val="Style9"/>
        <w:widowControl w:val="0"/>
        <w:keepNext w:val="0"/>
        <w:keepLines w:val="0"/>
        <w:shd w:val="clear" w:color="auto" w:fill="auto"/>
        <w:bidi w:val="0"/>
        <w:jc w:val="both"/>
        <w:spacing w:before="0" w:after="0"/>
        <w:ind w:left="20" w:right="20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25"/>
        <w:widowControl w:val="0"/>
        <w:keepNext/>
        <w:keepLines/>
        <w:shd w:val="clear" w:color="auto" w:fill="auto"/>
        <w:bidi w:val="0"/>
        <w:spacing w:before="0" w:after="243" w:line="277" w:lineRule="exact"/>
        <w:ind w:left="180" w:right="0" w:firstLine="0"/>
      </w:pPr>
      <w:bookmarkStart w:id="2" w:name="bookmark2"/>
      <w:r>
        <w:rPr>
          <w:lang w:val="ru-RU" w:eastAsia="ru-RU" w:bidi="ru-RU"/>
          <w:w w:val="100"/>
          <w:spacing w:val="0"/>
          <w:color w:val="000000"/>
          <w:position w:val="0"/>
        </w:rPr>
        <w:t>РЕШИЛА:</w:t>
      </w:r>
      <w:bookmarkEnd w:id="2"/>
    </w:p>
    <w:p>
      <w:pPr>
        <w:pStyle w:val="Style9"/>
        <w:numPr>
          <w:ilvl w:val="0"/>
          <w:numId w:val="7"/>
        </w:numPr>
        <w:widowControl w:val="0"/>
        <w:keepNext w:val="0"/>
        <w:keepLines w:val="0"/>
        <w:shd w:val="clear" w:color="auto" w:fill="auto"/>
        <w:bidi w:val="0"/>
        <w:jc w:val="both"/>
        <w:spacing w:before="0" w:after="0" w:line="274" w:lineRule="exact"/>
        <w:ind w:left="920" w:right="0"/>
      </w:pPr>
      <w:r>
        <w:rPr>
          <w:lang w:val="ru-RU" w:eastAsia="ru-RU" w:bidi="ru-RU"/>
          <w:w w:val="100"/>
          <w:spacing w:val="0"/>
          <w:color w:val="000000"/>
          <w:position w:val="0"/>
        </w:rPr>
        <w:t xml:space="preserve"> Признать жалобу ООО «Гермес» обоснованной.</w:t>
      </w:r>
    </w:p>
    <w:p>
      <w:pPr>
        <w:pStyle w:val="Style9"/>
        <w:numPr>
          <w:ilvl w:val="0"/>
          <w:numId w:val="7"/>
        </w:numPr>
        <w:widowControl w:val="0"/>
        <w:keepNext w:val="0"/>
        <w:keepLines w:val="0"/>
        <w:shd w:val="clear" w:color="auto" w:fill="auto"/>
        <w:bidi w:val="0"/>
        <w:jc w:val="both"/>
        <w:spacing w:before="0" w:after="0" w:line="274" w:lineRule="exact"/>
        <w:ind w:left="920" w:right="0"/>
      </w:pPr>
      <w:r>
        <w:rPr>
          <w:lang w:val="ru-RU" w:eastAsia="ru-RU" w:bidi="ru-RU"/>
          <w:w w:val="100"/>
          <w:spacing w:val="0"/>
          <w:color w:val="000000"/>
          <w:position w:val="0"/>
        </w:rPr>
        <w:t xml:space="preserve"> Признать конкурсную комиссию Заказчика нарушившей ч.б ст.54.7 Закона.</w:t>
      </w:r>
    </w:p>
    <w:p>
      <w:pPr>
        <w:pStyle w:val="Style9"/>
        <w:numPr>
          <w:ilvl w:val="0"/>
          <w:numId w:val="7"/>
        </w:numPr>
        <w:widowControl w:val="0"/>
        <w:keepNext w:val="0"/>
        <w:keepLines w:val="0"/>
        <w:shd w:val="clear" w:color="auto" w:fill="auto"/>
        <w:bidi w:val="0"/>
        <w:jc w:val="both"/>
        <w:spacing w:before="0" w:after="0" w:line="274" w:lineRule="exact"/>
        <w:ind w:left="920" w:right="2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отмены протокола подведения итогов от 13.10.2021, протокола рассмотрения и оценки вторых частей заявок от 13.10.2021, пересмотра и оценки вторых частей заявок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3"/>
        <w:framePr w:w="1564" w:h="443" w:wrap="notBeside" w:vAnchor="text" w:hAnchor="margin" w:x="95" w:y="7959"/>
        <w:widowControl w:val="0"/>
        <w:keepNext w:val="0"/>
        <w:keepLines w:val="0"/>
        <w:shd w:val="clear" w:color="auto" w:fill="auto"/>
        <w:bidi w:val="0"/>
        <w:jc w:val="both"/>
        <w:spacing w:before="0" w:after="0" w:line="223" w:lineRule="exact"/>
        <w:ind w:left="0" w:right="120" w:firstLine="0"/>
      </w:pPr>
      <w:r>
        <w:rPr>
          <w:rStyle w:val="CharStyle21"/>
          <w:spacing w:val="0"/>
        </w:rPr>
        <w:t>Исп. Дедух Ю.Р. 8 (863) 240-86-88</w:t>
      </w:r>
    </w:p>
    <w:p>
      <w:pPr>
        <w:pStyle w:val="Style9"/>
        <w:numPr>
          <w:ilvl w:val="0"/>
          <w:numId w:val="7"/>
        </w:numPr>
        <w:widowControl w:val="0"/>
        <w:keepNext w:val="0"/>
        <w:keepLines w:val="0"/>
        <w:shd w:val="clear" w:color="auto" w:fill="auto"/>
        <w:bidi w:val="0"/>
        <w:jc w:val="both"/>
        <w:spacing w:before="0" w:after="185" w:line="274" w:lineRule="exact"/>
        <w:ind w:left="920" w:right="20"/>
        <w:sectPr>
          <w:type w:val="continuous"/>
          <w:pgSz w:w="11906" w:h="16838"/>
          <w:pgMar w:top="857" w:left="809" w:right="780" w:bottom="588" w:header="0" w:footer="3" w:gutter="0"/>
          <w:rtlGutter w:val="0"/>
          <w:cols w:space="720"/>
          <w:noEndnote/>
          <w:docGrid w:linePitch="360"/>
        </w:sectPr>
      </w:pPr>
      <w:r>
        <w:rPr>
          <w:lang w:val="ru-RU" w:eastAsia="ru-RU" w:bidi="ru-RU"/>
          <w:w w:val="100"/>
          <w:spacing w:val="0"/>
          <w:color w:val="000000"/>
          <w:position w:val="0"/>
        </w:rPr>
        <w:t xml:space="preserve"> Рассмотреть вопрос о привлечении к административной ответственности виновных должностных лиц Заказчика.</w:t>
      </w:r>
    </w:p>
    <w:p>
      <w:pPr>
        <w:pStyle w:val="Style3"/>
        <w:widowControl w:val="0"/>
        <w:keepNext w:val="0"/>
        <w:keepLines w:val="0"/>
        <w:shd w:val="clear" w:color="auto" w:fill="auto"/>
        <w:bidi w:val="0"/>
        <w:spacing w:before="324" w:after="83"/>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806"/>
        <w:ind w:left="0" w:right="0" w:firstLine="0"/>
      </w:pPr>
      <w:r>
        <w:rPr>
          <w:rStyle w:val="CharStyle14"/>
        </w:rPr>
        <w:t xml:space="preserve">ср. Ворошиловский, 2/2. офнс 403 г. Ростов-на-Дону, 344006 тел. (863) 263-31-04, факс (863) 240-99-59 </w:t>
      </w:r>
      <w:r>
        <w:rPr>
          <w:rStyle w:val="CharStyle30"/>
        </w:rPr>
        <w:t xml:space="preserve">e-mail: </w:t>
      </w:r>
      <w:r>
        <w:fldChar w:fldCharType="begin"/>
      </w:r>
      <w:r>
        <w:rPr>
          <w:rStyle w:val="CharStyle30"/>
        </w:rPr>
        <w:instrText> HYPERLINK "mailto:to6J@fas.gov.ru" </w:instrText>
      </w:r>
      <w:r>
        <w:fldChar w:fldCharType="separate"/>
      </w:r>
      <w:r>
        <w:rPr>
          <w:rStyle w:val="Hyperlink"/>
        </w:rPr>
        <w:t>to6J@fas.gov.ru</w:t>
      </w:r>
      <w:r>
        <w:fldChar w:fldCharType="end"/>
      </w:r>
    </w:p>
    <w:p>
      <w:pPr>
        <w:pStyle w:val="Style9"/>
        <w:tabs>
          <w:tab w:leader="none" w:pos="2585" w:val="right"/>
        </w:tabs>
        <w:widowControl w:val="0"/>
        <w:keepNext w:val="0"/>
        <w:keepLines w:val="0"/>
        <w:shd w:val="clear" w:color="auto" w:fill="auto"/>
        <w:bidi w:val="0"/>
        <w:jc w:val="both"/>
        <w:spacing w:before="0" w:after="0" w:line="230" w:lineRule="exact"/>
        <w:ind w:left="540" w:right="0" w:firstLine="0"/>
      </w:pPr>
      <w:r>
        <w:rPr>
          <w:rStyle w:val="CharStyle31"/>
        </w:rPr>
        <w:t>На №</w:t>
        <w:tab/>
        <w:t>от</w:t>
      </w:r>
    </w:p>
    <w:p>
      <w:pPr>
        <w:pStyle w:val="Style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Муниципальное казенное учреждение города Новошахтинска «Управление капитального строительства» (далее - Заказчик)</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Харьковская, д. 133, г. Новошахтинск,</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Ростовская область</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346900</w:t>
      </w:r>
    </w:p>
    <w:p>
      <w:pPr>
        <w:pStyle w:val="Style9"/>
        <w:widowControl w:val="0"/>
        <w:keepNext w:val="0"/>
        <w:keepLines w:val="0"/>
        <w:shd w:val="clear" w:color="auto" w:fill="auto"/>
        <w:bidi w:val="0"/>
        <w:jc w:val="left"/>
        <w:spacing w:before="0" w:after="231"/>
        <w:ind w:left="20" w:right="0" w:firstLine="0"/>
      </w:pPr>
      <w:r>
        <w:rPr>
          <w:lang w:val="en-US" w:eastAsia="en-US" w:bidi="en-US"/>
          <w:w w:val="100"/>
          <w:spacing w:val="0"/>
          <w:color w:val="000000"/>
          <w:position w:val="0"/>
        </w:rPr>
        <w:t xml:space="preserve">Email: </w:t>
      </w:r>
      <w:r>
        <w:fldChar w:fldCharType="begin"/>
      </w:r>
      <w:r>
        <w:rPr>
          <w:rStyle w:val="CharStyle11"/>
        </w:rPr>
        <w:instrText> HYPERLINK "mailto:rspuksnov@mail.ru" </w:instrText>
      </w:r>
      <w:r>
        <w:fldChar w:fldCharType="separate"/>
      </w:r>
      <w:r>
        <w:rPr>
          <w:rStyle w:val="Hyperlink"/>
        </w:rPr>
        <w:t>rspuksnov@mail.ru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692-43-60</w:t>
      </w:r>
    </w:p>
    <w:p>
      <w:pPr>
        <w:pStyle w:val="Style6"/>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Акционерное общество «ЕЭТП»</w:t>
      </w:r>
    </w:p>
    <w:p>
      <w:pPr>
        <w:pStyle w:val="Style6"/>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(далее - Оператор электронной площадки)</w:t>
      </w:r>
    </w:p>
    <w:p>
      <w:pPr>
        <w:pStyle w:val="Style9"/>
        <w:widowControl w:val="0"/>
        <w:keepNext w:val="0"/>
        <w:keepLines w:val="0"/>
        <w:shd w:val="clear" w:color="auto" w:fill="auto"/>
        <w:bidi w:val="0"/>
        <w:jc w:val="left"/>
        <w:spacing w:before="0" w:after="0" w:line="288" w:lineRule="exact"/>
        <w:ind w:left="20" w:right="0" w:firstLine="0"/>
        <w:sectPr>
          <w:pgSz w:w="11906" w:h="16838"/>
          <w:pgMar w:top="557" w:left="873" w:right="1161" w:bottom="431" w:header="0" w:footer="3" w:gutter="0"/>
          <w:rtlGutter w:val="0"/>
          <w:cols w:num="2" w:space="223"/>
          <w:noEndnote/>
          <w:docGrid w:linePitch="360"/>
        </w:sectPr>
      </w:pPr>
      <w:r>
        <w:rPr>
          <w:lang w:val="en-US" w:eastAsia="en-US" w:bidi="en-US"/>
          <w:w w:val="100"/>
          <w:spacing w:val="0"/>
          <w:color w:val="000000"/>
          <w:position w:val="0"/>
        </w:rPr>
        <w:t xml:space="preserve">Email: </w:t>
      </w:r>
      <w:r>
        <w:fldChar w:fldCharType="begin"/>
      </w:r>
      <w:r>
        <w:rPr>
          <w:rStyle w:val="CharStyle11"/>
        </w:rPr>
        <w:instrText> HYPERLINK "mailto:info@roseltorg.ru" </w:instrText>
      </w:r>
      <w:r>
        <w:fldChar w:fldCharType="separate"/>
      </w:r>
      <w:r>
        <w:rPr>
          <w:rStyle w:val="Hyperlink"/>
        </w:rPr>
        <w:t>info@roseltorg.ru</w:t>
      </w:r>
      <w:r>
        <w:fldChar w:fldCharType="end"/>
      </w:r>
    </w:p>
    <w:p>
      <w:pPr>
        <w:widowControl w:val="0"/>
        <w:spacing w:line="240" w:lineRule="exact"/>
        <w:rPr>
          <w:sz w:val="19"/>
          <w:szCs w:val="19"/>
        </w:rPr>
      </w:pPr>
    </w:p>
    <w:p>
      <w:pPr>
        <w:widowControl w:val="0"/>
        <w:spacing w:before="49" w:after="4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tabs>
          <w:tab w:leader="none" w:pos="6798" w:val="center"/>
        </w:tabs>
        <w:widowControl w:val="0"/>
        <w:keepNext w:val="0"/>
        <w:keepLines w:val="0"/>
        <w:shd w:val="clear" w:color="auto" w:fill="auto"/>
        <w:bidi w:val="0"/>
        <w:jc w:val="both"/>
        <w:spacing w:before="0" w:after="0" w:line="270" w:lineRule="exact"/>
        <w:ind w:left="3220" w:right="0" w:firstLine="0"/>
      </w:pPr>
      <w:r>
        <w:rPr>
          <w:lang w:val="ru-RU" w:eastAsia="ru-RU" w:bidi="ru-RU"/>
          <w:w w:val="100"/>
          <w:spacing w:val="0"/>
          <w:color w:val="000000"/>
          <w:position w:val="0"/>
        </w:rPr>
        <w:t>ПРЕДПИСАНИЕ №</w:t>
        <w:tab/>
      </w:r>
      <w:r>
        <w:rPr>
          <w:rStyle w:val="CharStyle32"/>
          <w:b/>
          <w:bCs/>
        </w:rPr>
        <w:t>/</w:t>
      </w:r>
      <w:r>
        <w:rPr>
          <w:lang w:val="ru-RU" w:eastAsia="ru-RU" w:bidi="ru-RU"/>
          <w:w w:val="100"/>
          <w:spacing w:val="0"/>
          <w:color w:val="000000"/>
          <w:position w:val="0"/>
        </w:rPr>
        <w:t>03</w:t>
      </w:r>
    </w:p>
    <w:p>
      <w:pPr>
        <w:pStyle w:val="Style6"/>
        <w:widowControl w:val="0"/>
        <w:keepNext w:val="0"/>
        <w:keepLines w:val="0"/>
        <w:shd w:val="clear" w:color="auto" w:fill="auto"/>
        <w:bidi w:val="0"/>
        <w:spacing w:before="0" w:after="512" w:line="270" w:lineRule="exact"/>
        <w:ind w:left="0" w:right="20" w:firstLine="0"/>
      </w:pPr>
      <w:r>
        <w:rPr>
          <w:lang w:val="ru-RU" w:eastAsia="ru-RU" w:bidi="ru-RU"/>
          <w:w w:val="100"/>
          <w:spacing w:val="0"/>
          <w:color w:val="000000"/>
          <w:position w:val="0"/>
        </w:rPr>
        <w:t>по делу 061/06/54.7-1754/2021 о нарушении законодательства о контрактной системе в сфере закупок</w:t>
      </w:r>
    </w:p>
    <w:p>
      <w:pPr>
        <w:pStyle w:val="Style9"/>
        <w:numPr>
          <w:ilvl w:val="0"/>
          <w:numId w:val="9"/>
        </w:numPr>
        <w:tabs>
          <w:tab w:leader="none" w:pos="8063" w:val="left"/>
          <w:tab w:leader="none" w:pos="8026" w:val="left"/>
        </w:tabs>
        <w:widowControl w:val="0"/>
        <w:keepNext w:val="0"/>
        <w:keepLines w:val="0"/>
        <w:shd w:val="clear" w:color="auto" w:fill="auto"/>
        <w:bidi w:val="0"/>
        <w:jc w:val="both"/>
        <w:spacing w:before="0" w:after="211" w:line="230" w:lineRule="exact"/>
        <w:ind w:left="20" w:right="0" w:firstLine="0"/>
      </w:pPr>
      <w:r>
        <w:rPr>
          <w:lang w:val="ru-RU" w:eastAsia="ru-RU" w:bidi="ru-RU"/>
          <w:w w:val="100"/>
          <w:spacing w:val="0"/>
          <w:color w:val="000000"/>
          <w:position w:val="0"/>
        </w:rPr>
        <w:t>гор. Ростов-на-Дону</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9"/>
        <w:tabs>
          <w:tab w:leader="none" w:pos="8063" w:val="left"/>
        </w:tabs>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Председатель Комиссии:</w:t>
        <w:tab/>
        <w:t>М.А. Благодарев</w:t>
      </w:r>
    </w:p>
    <w:p>
      <w:pPr>
        <w:pStyle w:val="Style9"/>
        <w:tabs>
          <w:tab w:leader="none" w:pos="8063" w:val="left"/>
        </w:tabs>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Члены Комиссии:</w:t>
        <w:tab/>
        <w:t>С.А. Иванкова</w:t>
      </w:r>
    </w:p>
    <w:p>
      <w:pPr>
        <w:pStyle w:val="Style9"/>
        <w:widowControl w:val="0"/>
        <w:keepNext w:val="0"/>
        <w:keepLines w:val="0"/>
        <w:shd w:val="clear" w:color="auto" w:fill="auto"/>
        <w:bidi w:val="0"/>
        <w:jc w:val="left"/>
        <w:spacing w:before="0" w:after="297" w:line="274" w:lineRule="exact"/>
        <w:ind w:left="8140" w:right="0" w:firstLine="0"/>
      </w:pPr>
      <w:r>
        <w:rPr>
          <w:lang w:val="ru-RU" w:eastAsia="ru-RU" w:bidi="ru-RU"/>
          <w:w w:val="100"/>
          <w:spacing w:val="0"/>
          <w:color w:val="000000"/>
          <w:position w:val="0"/>
        </w:rPr>
        <w:t>Ю.Р. Дедух</w:t>
      </w:r>
    </w:p>
    <w:p>
      <w:pPr>
        <w:pStyle w:val="Style9"/>
        <w:widowControl w:val="0"/>
        <w:keepNext w:val="0"/>
        <w:keepLines w:val="0"/>
        <w:shd w:val="clear" w:color="auto" w:fill="auto"/>
        <w:bidi w:val="0"/>
        <w:jc w:val="both"/>
        <w:spacing w:before="0" w:after="278"/>
        <w:ind w:left="20" w:right="20" w:firstLine="580"/>
      </w:pPr>
      <w:r>
        <w:rPr>
          <w:lang w:val="ru-RU" w:eastAsia="ru-RU" w:bidi="ru-RU"/>
          <w:w w:val="100"/>
          <w:spacing w:val="0"/>
          <w:color w:val="000000"/>
          <w:position w:val="0"/>
        </w:rPr>
        <w:t>на основании решения от 26.10.2021 по делу №061/06/54.7-1754/2021, о нарушении конкурсной комиссией Заказчика ч.б ст.54.7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№0858300001721000005 «Выполнение мероприятий по сносу расселенных ветхих многоквартирных домов по ул. Батурина, 6, ул. Волна Революции, 41, ул. Карла Маркса, 38, ул. Карла Маркса, 40, ул. Карла Маркса, 42, ул. Карла Маркса, 44, ул. Карла Маркса, 46, ул. Карла Маркса, 54, ул. Карла Маркса, 56, ул. Киевская, 14, ул. Киевская, 16, ул. Киевская, 18, ул. Киевская, 20, ул. Киевская, 22, ул. Киевская, 24, ул. Кузнецкая, 7, ул. Кузнецкая, 9, ул. Молодогвардейцев, 7а, ул. Молодогвардейцев, 45, ул. Нахимова, 8, ул. Рабоче-Крестьянская, 9, ул. Рабоче-Крестьянская, 13, ул. Рабоче-Крестьянская, 14, ул. Рабоче-Крестьянская, 15 в городе Новошахтинске» (далее - конкурс),</w:t>
      </w:r>
    </w:p>
    <w:p>
      <w:pPr>
        <w:pStyle w:val="Style6"/>
        <w:widowControl w:val="0"/>
        <w:keepNext w:val="0"/>
        <w:keepLines w:val="0"/>
        <w:shd w:val="clear" w:color="auto" w:fill="auto"/>
        <w:bidi w:val="0"/>
        <w:jc w:val="left"/>
        <w:spacing w:before="0" w:after="348" w:line="230" w:lineRule="exact"/>
        <w:ind w:left="3540" w:right="0" w:firstLine="0"/>
      </w:pPr>
      <w:r>
        <w:rPr>
          <w:lang w:val="ru-RU" w:eastAsia="ru-RU" w:bidi="ru-RU"/>
          <w:w w:val="100"/>
          <w:spacing w:val="0"/>
          <w:color w:val="000000"/>
          <w:position w:val="0"/>
        </w:rPr>
        <w:t>ПРЕДПИСЫВАЕТ:</w:t>
      </w:r>
    </w:p>
    <w:p>
      <w:pPr>
        <w:pStyle w:val="Style9"/>
        <w:numPr>
          <w:ilvl w:val="0"/>
          <w:numId w:val="11"/>
        </w:numPr>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 xml:space="preserve"> Заказчику, конкурсной комиссии Заказчика отменить протокол подведения итогов от</w:t>
      </w:r>
    </w:p>
    <w:p>
      <w:pPr>
        <w:pStyle w:val="Style9"/>
        <w:numPr>
          <w:ilvl w:val="0"/>
          <w:numId w:val="13"/>
        </w:numPr>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xml:space="preserve"> протокол рассмотрения и оценки вторых </w:t>
      </w:r>
      <w:r>
        <w:rPr>
          <w:rStyle w:val="CharStyle33"/>
        </w:rPr>
        <w:t xml:space="preserve">частей </w:t>
      </w:r>
      <w:r>
        <w:rPr>
          <w:lang w:val="ru-RU" w:eastAsia="ru-RU" w:bidi="ru-RU"/>
          <w:w w:val="100"/>
          <w:spacing w:val="0"/>
          <w:color w:val="000000"/>
          <w:position w:val="0"/>
        </w:rPr>
        <w:t xml:space="preserve">заявок на </w:t>
      </w:r>
      <w:r>
        <w:rPr>
          <w:rStyle w:val="CharStyle33"/>
        </w:rPr>
        <w:t xml:space="preserve">участие </w:t>
      </w:r>
      <w:r>
        <w:rPr>
          <w:lang w:val="ru-RU" w:eastAsia="ru-RU" w:bidi="ru-RU"/>
          <w:w w:val="100"/>
          <w:spacing w:val="0"/>
          <w:color w:val="000000"/>
          <w:position w:val="0"/>
        </w:rPr>
        <w:t xml:space="preserve">в </w:t>
      </w:r>
      <w:r>
        <w:rPr>
          <w:rStyle w:val="CharStyle33"/>
        </w:rPr>
        <w:t>конкурсе от</w:t>
      </w:r>
    </w:p>
    <w:p>
      <w:pPr>
        <w:pStyle w:val="Style9"/>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13.10.2021.</w:t>
      </w:r>
    </w:p>
    <w:p>
      <w:pPr>
        <w:pStyle w:val="Style9"/>
        <w:numPr>
          <w:ilvl w:val="0"/>
          <w:numId w:val="11"/>
        </w:numPr>
        <w:widowControl w:val="0"/>
        <w:keepNext w:val="0"/>
        <w:keepLines w:val="0"/>
        <w:shd w:val="clear" w:color="auto" w:fill="auto"/>
        <w:bidi w:val="0"/>
        <w:jc w:val="both"/>
        <w:spacing w:before="0" w:after="225" w:line="266" w:lineRule="exact"/>
        <w:ind w:left="2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п.1 настоящего предписания: уведомить участников закупки, подавших заявки на участие в конкурсе, об отмене протоколов, о новой дате рассмотрения вторых частей заявок на участие в</w:t>
      </w:r>
    </w:p>
    <w:p>
      <w:pPr>
        <w:pStyle w:val="Style23"/>
        <w:widowControl w:val="0"/>
        <w:keepNext/>
        <w:keepLines/>
        <w:shd w:val="clear" w:color="auto" w:fill="auto"/>
        <w:bidi w:val="0"/>
        <w:spacing w:before="0" w:after="0" w:line="360" w:lineRule="exact"/>
        <w:ind w:left="0" w:right="20" w:firstLine="0"/>
      </w:pPr>
      <w:bookmarkStart w:id="3" w:name="bookmark3"/>
      <w:r>
        <w:rPr>
          <w:lang w:val="ru-RU" w:eastAsia="ru-RU" w:bidi="ru-RU"/>
          <w:w w:val="100"/>
          <w:spacing w:val="0"/>
          <w:color w:val="000000"/>
          <w:position w:val="0"/>
        </w:rPr>
        <w:t>017967</w:t>
      </w:r>
      <w:bookmarkEnd w:id="3"/>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конкурсе, а также о необходимости наличия на счетах для проведения операций по обеспечению участия в открытых конкурсе в электронной форме, открытых участникам закупки, денежных средств в размере обеспечения заявки на участие в конкурсе, о блокировании операций в отношении указанных средств, в случае если в их отношении блокирование прекращено.</w:t>
      </w:r>
    </w:p>
    <w:p>
      <w:pPr>
        <w:pStyle w:val="Style9"/>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Оператору осуществить блокирование операций по счетам для проведения операций по обеспечению участия в открытых конкурсах в электронной форме, открытым участникам закупки, в отношении денежных средств в размере обеспечения заявки на участие в конкурсе через 4 рабочих дня со дня направления Оператором уведомления, указанного в п.2 настоящего предписания.</w:t>
      </w:r>
    </w:p>
    <w:p>
      <w:pPr>
        <w:pStyle w:val="Style9"/>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Конкурсной комиссии рассмотреть и оценить вторые части заявок, поданные участниками закупки до окончания срока подачи заявок на участие в конкурсе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 26.10.2021 по делу №061/06/54.7-1754/2021.</w:t>
      </w:r>
    </w:p>
    <w:p>
      <w:pPr>
        <w:pStyle w:val="Style9"/>
        <w:numPr>
          <w:ilvl w:val="0"/>
          <w:numId w:val="11"/>
        </w:numPr>
        <w:widowControl w:val="0"/>
        <w:keepNext w:val="0"/>
        <w:keepLines w:val="0"/>
        <w:shd w:val="clear" w:color="auto" w:fill="auto"/>
        <w:bidi w:val="0"/>
        <w:jc w:val="both"/>
        <w:spacing w:before="0" w:after="0"/>
        <w:ind w:left="20" w:right="160" w:firstLine="720"/>
      </w:pPr>
      <w:r>
        <w:rPr>
          <w:lang w:val="ru-RU" w:eastAsia="ru-RU" w:bidi="ru-RU"/>
          <w:w w:val="100"/>
          <w:spacing w:val="0"/>
          <w:color w:val="000000"/>
          <w:position w:val="0"/>
        </w:rPr>
        <w:t xml:space="preserve"> Заказчику, конкурсной комиссии Заказчика,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9"/>
        <w:widowControl w:val="0"/>
        <w:keepNext w:val="0"/>
        <w:keepLines w:val="0"/>
        <w:shd w:val="clear" w:color="auto" w:fill="auto"/>
        <w:bidi w:val="0"/>
        <w:jc w:val="both"/>
        <w:spacing w:before="0" w:after="0"/>
        <w:ind w:left="20" w:right="0" w:firstLine="580"/>
      </w:pPr>
      <w:r>
        <w:rPr>
          <w:lang w:val="ru-RU" w:eastAsia="ru-RU" w:bidi="ru-RU"/>
          <w:w w:val="100"/>
          <w:spacing w:val="0"/>
          <w:color w:val="000000"/>
          <w:position w:val="0"/>
        </w:rPr>
        <w:t xml:space="preserve">Предписание должно быть исполнено не позднее </w:t>
      </w:r>
      <w:r>
        <w:rPr>
          <w:rStyle w:val="CharStyle34"/>
        </w:rPr>
        <w:t>27.11.2021.</w:t>
      </w:r>
    </w:p>
    <w:p>
      <w:pPr>
        <w:pStyle w:val="Style9"/>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Об исполнении предписания Заказчик, конкурсная комиссия должны сообщить в Ростовское УФАС России в срок не позднее </w:t>
      </w:r>
      <w:r>
        <w:rPr>
          <w:rStyle w:val="CharStyle34"/>
        </w:rPr>
        <w:t xml:space="preserve">28.11.2021, </w:t>
      </w:r>
      <w:r>
        <w:rPr>
          <w:lang w:val="ru-RU" w:eastAsia="ru-RU" w:bidi="ru-RU"/>
          <w:w w:val="100"/>
          <w:spacing w:val="0"/>
          <w:color w:val="000000"/>
          <w:position w:val="0"/>
        </w:rPr>
        <w:t>приложив заверенные копии документов, подтверждающих факт и дату исполнения предписания.</w:t>
      </w:r>
    </w:p>
    <w:p>
      <w:pPr>
        <w:pStyle w:val="Style9"/>
        <w:widowControl w:val="0"/>
        <w:keepNext w:val="0"/>
        <w:keepLines w:val="0"/>
        <w:shd w:val="clear" w:color="auto" w:fill="auto"/>
        <w:bidi w:val="0"/>
        <w:jc w:val="both"/>
        <w:spacing w:before="0" w:after="0"/>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9"/>
        <w:widowControl w:val="0"/>
        <w:keepNext w:val="0"/>
        <w:keepLines w:val="0"/>
        <w:shd w:val="clear" w:color="auto" w:fill="auto"/>
        <w:bidi w:val="0"/>
        <w:jc w:val="both"/>
        <w:spacing w:before="0" w:after="305"/>
        <w:ind w:left="2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sectPr>
      <w:type w:val="continuous"/>
      <w:pgSz w:w="11906" w:h="16838"/>
      <w:pgMar w:top="1010" w:left="904" w:right="861" w:bottom="7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6.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3.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26.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21"/>
      <w:numFmt w:val="decimal"/>
      <w:lvlText w:val="13.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w:basedOn w:val="CharStyle10"/>
    <w:rPr>
      <w:lang w:val="en-US" w:eastAsia="en-US" w:bidi="en-US"/>
      <w:u w:val="single"/>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iCs/>
      <w:u w:val="none"/>
      <w:strike w:val="0"/>
      <w:smallCaps w:val="0"/>
      <w:sz w:val="26"/>
      <w:szCs w:val="26"/>
      <w:rFonts w:ascii="Times New Roman" w:eastAsia="Times New Roman" w:hAnsi="Times New Roman" w:cs="Times New Roman"/>
      <w:spacing w:val="-30"/>
    </w:rPr>
  </w:style>
  <w:style w:type="character" w:customStyle="1" w:styleId="CharStyle17">
    <w:name w:val="Основной текст (5)"/>
    <w:basedOn w:val="CharStyle16"/>
    <w:rPr>
      <w:lang w:val="ru-RU" w:eastAsia="ru-RU" w:bidi="ru-RU"/>
      <w:w w:val="100"/>
      <w:color w:val="000000"/>
      <w:position w:val="0"/>
    </w:rPr>
  </w:style>
  <w:style w:type="character" w:customStyle="1" w:styleId="CharStyle19">
    <w:name w:val="Основной текст (6)_"/>
    <w:basedOn w:val="DefaultParagraphFont"/>
    <w:link w:val="Style18"/>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6)"/>
    <w:basedOn w:val="CharStyle19"/>
    <w:rPr>
      <w:lang w:val="ru-RU" w:eastAsia="ru-RU" w:bidi="ru-RU"/>
      <w:w w:val="100"/>
      <w:spacing w:val="0"/>
      <w:color w:val="000000"/>
      <w:position w:val="0"/>
    </w:rPr>
  </w:style>
  <w:style w:type="character" w:customStyle="1" w:styleId="CharStyle21">
    <w:name w:val="Основной текст (2) Exact"/>
    <w:basedOn w:val="DefaultParagraphFont"/>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22">
    <w:name w:val="Основной текст"/>
    <w:basedOn w:val="CharStyle10"/>
    <w:rPr>
      <w:lang w:val="ru-RU" w:eastAsia="ru-RU" w:bidi="ru-RU"/>
      <w:w w:val="100"/>
      <w:spacing w:val="0"/>
      <w:color w:val="000000"/>
      <w:position w:val="0"/>
    </w:rPr>
  </w:style>
  <w:style w:type="character" w:customStyle="1" w:styleId="CharStyle24">
    <w:name w:val="Заголовок №1_"/>
    <w:basedOn w:val="DefaultParagraphFont"/>
    <w:link w:val="Style23"/>
    <w:rPr>
      <w:b w:val="0"/>
      <w:bCs w:val="0"/>
      <w:i w:val="0"/>
      <w:iCs w:val="0"/>
      <w:u w:val="none"/>
      <w:strike w:val="0"/>
      <w:smallCaps w:val="0"/>
      <w:sz w:val="36"/>
      <w:szCs w:val="36"/>
      <w:rFonts w:ascii="Times New Roman" w:eastAsia="Times New Roman" w:hAnsi="Times New Roman" w:cs="Times New Roman"/>
    </w:rPr>
  </w:style>
  <w:style w:type="character" w:customStyle="1" w:styleId="CharStyle26">
    <w:name w:val="Заголовок №2_"/>
    <w:basedOn w:val="DefaultParagraphFont"/>
    <w:link w:val="Style25"/>
    <w:rPr>
      <w:b/>
      <w:bCs/>
      <w:i w:val="0"/>
      <w:iCs w:val="0"/>
      <w:u w:val="none"/>
      <w:strike w:val="0"/>
      <w:smallCaps w:val="0"/>
      <w:sz w:val="23"/>
      <w:szCs w:val="23"/>
      <w:rFonts w:ascii="Times New Roman" w:eastAsia="Times New Roman" w:hAnsi="Times New Roman" w:cs="Times New Roman"/>
    </w:rPr>
  </w:style>
  <w:style w:type="character" w:customStyle="1" w:styleId="CharStyle28">
    <w:name w:val="Основной текст (7)_"/>
    <w:basedOn w:val="DefaultParagraphFont"/>
    <w:link w:val="Style27"/>
    <w:rPr>
      <w:b w:val="0"/>
      <w:bCs w:val="0"/>
      <w:i/>
      <w:iCs/>
      <w:u w:val="none"/>
      <w:strike w:val="0"/>
      <w:smallCaps w:val="0"/>
      <w:sz w:val="23"/>
      <w:szCs w:val="23"/>
      <w:rFonts w:ascii="Times New Roman" w:eastAsia="Times New Roman" w:hAnsi="Times New Roman" w:cs="Times New Roman"/>
    </w:rPr>
  </w:style>
  <w:style w:type="character" w:customStyle="1" w:styleId="CharStyle29">
    <w:name w:val="Основной текст + Курсив"/>
    <w:basedOn w:val="CharStyle10"/>
    <w:rPr>
      <w:lang w:val="ru-RU" w:eastAsia="ru-RU" w:bidi="ru-RU"/>
      <w:i/>
      <w:iCs/>
      <w:w w:val="100"/>
      <w:spacing w:val="0"/>
      <w:color w:val="000000"/>
      <w:position w:val="0"/>
    </w:rPr>
  </w:style>
  <w:style w:type="character" w:customStyle="1" w:styleId="CharStyle30">
    <w:name w:val="Основной текст (4)"/>
    <w:basedOn w:val="CharStyle13"/>
    <w:rPr>
      <w:lang w:val="en-US" w:eastAsia="en-US" w:bidi="en-US"/>
      <w:w w:val="100"/>
      <w:spacing w:val="0"/>
      <w:color w:val="000000"/>
      <w:position w:val="0"/>
    </w:rPr>
  </w:style>
  <w:style w:type="character" w:customStyle="1" w:styleId="CharStyle31">
    <w:name w:val="Основной текст"/>
    <w:basedOn w:val="CharStyle10"/>
    <w:rPr>
      <w:lang w:val="ru-RU" w:eastAsia="ru-RU" w:bidi="ru-RU"/>
      <w:w w:val="100"/>
      <w:spacing w:val="0"/>
      <w:color w:val="000000"/>
      <w:position w:val="0"/>
    </w:rPr>
  </w:style>
  <w:style w:type="character" w:customStyle="1" w:styleId="CharStyle32">
    <w:name w:val="Основной текст (3)"/>
    <w:basedOn w:val="CharStyle7"/>
    <w:rPr>
      <w:lang w:val="ru-RU" w:eastAsia="ru-RU" w:bidi="ru-RU"/>
      <w:u w:val="single"/>
      <w:w w:val="100"/>
      <w:spacing w:val="0"/>
      <w:color w:val="000000"/>
      <w:position w:val="0"/>
    </w:rPr>
  </w:style>
  <w:style w:type="character" w:customStyle="1" w:styleId="CharStyle33">
    <w:name w:val="Основной текст + 11 pt"/>
    <w:basedOn w:val="CharStyle10"/>
    <w:rPr>
      <w:lang w:val="ru-RU" w:eastAsia="ru-RU" w:bidi="ru-RU"/>
      <w:sz w:val="22"/>
      <w:szCs w:val="22"/>
      <w:w w:val="100"/>
      <w:spacing w:val="0"/>
      <w:color w:val="000000"/>
      <w:position w:val="0"/>
    </w:rPr>
  </w:style>
  <w:style w:type="character" w:customStyle="1" w:styleId="CharStyle34">
    <w:name w:val="Основной текст + Полужирный"/>
    <w:basedOn w:val="CharStyle10"/>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80" w:line="22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277"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center"/>
      <w:spacing w:before="300" w:after="300" w:line="0" w:lineRule="exact"/>
    </w:pPr>
    <w:rPr>
      <w:b w:val="0"/>
      <w:bCs w:val="0"/>
      <w:i/>
      <w:iCs/>
      <w:u w:val="none"/>
      <w:strike w:val="0"/>
      <w:smallCaps w:val="0"/>
      <w:sz w:val="26"/>
      <w:szCs w:val="26"/>
      <w:rFonts w:ascii="Times New Roman" w:eastAsia="Times New Roman" w:hAnsi="Times New Roman" w:cs="Times New Roman"/>
      <w:spacing w:val="-30"/>
    </w:rPr>
  </w:style>
  <w:style w:type="paragraph" w:customStyle="1" w:styleId="Style18">
    <w:name w:val="Основной текст (6)"/>
    <w:basedOn w:val="Normal"/>
    <w:link w:val="CharStyle19"/>
    <w:pPr>
      <w:widowControl w:val="0"/>
      <w:shd w:val="clear" w:color="auto" w:fill="FFFFFF"/>
      <w:jc w:val="both"/>
      <w:spacing w:before="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right"/>
      <w:outlineLvl w:val="0"/>
      <w:spacing w:before="48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