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17" w:line="260" w:lineRule="exact"/>
        <w:ind w:left="5340" w:right="0" w:firstLine="0"/>
      </w:pPr>
      <w:r>
        <w:rPr>
          <w:lang w:val="ru-RU" w:eastAsia="ru-RU" w:bidi="ru-RU"/>
          <w:w w:val="100"/>
          <w:spacing w:val="0"/>
          <w:color w:val="000000"/>
          <w:position w:val="0"/>
        </w:rPr>
        <w:t>ГБУЗ «ГП № 67 ДЗМ»</w:t>
      </w:r>
    </w:p>
    <w:p>
      <w:pPr>
        <w:pStyle w:val="Style5"/>
        <w:widowControl w:val="0"/>
        <w:keepNext w:val="0"/>
        <w:keepLines w:val="0"/>
        <w:shd w:val="clear" w:color="auto" w:fill="auto"/>
        <w:bidi w:val="0"/>
        <w:jc w:val="left"/>
        <w:spacing w:before="0" w:after="346" w:line="317" w:lineRule="exact"/>
        <w:ind w:left="5340" w:right="20" w:firstLine="0"/>
      </w:pPr>
      <w:r>
        <w:rPr>
          <w:lang w:val="ru-RU" w:eastAsia="ru-RU" w:bidi="ru-RU"/>
          <w:w w:val="100"/>
          <w:spacing w:val="0"/>
          <w:color w:val="000000"/>
          <w:position w:val="0"/>
        </w:rPr>
        <w:t>ш. Варшавское, д. 19/3, г. Москва, 117105</w:t>
      </w:r>
    </w:p>
    <w:p>
      <w:pPr>
        <w:pStyle w:val="Style5"/>
        <w:widowControl w:val="0"/>
        <w:keepNext w:val="0"/>
        <w:keepLines w:val="0"/>
        <w:shd w:val="clear" w:color="auto" w:fill="auto"/>
        <w:bidi w:val="0"/>
        <w:jc w:val="left"/>
        <w:spacing w:before="0" w:after="303" w:line="260" w:lineRule="exact"/>
        <w:ind w:left="5340" w:right="0" w:firstLine="0"/>
      </w:pPr>
      <w:r>
        <w:rPr>
          <w:lang w:val="ru-RU" w:eastAsia="ru-RU" w:bidi="ru-RU"/>
          <w:w w:val="100"/>
          <w:spacing w:val="0"/>
          <w:color w:val="000000"/>
          <w:position w:val="0"/>
        </w:rPr>
        <w:t>ООО «ЛайфМедика»</w:t>
      </w:r>
    </w:p>
    <w:p>
      <w:pPr>
        <w:pStyle w:val="Style5"/>
        <w:widowControl w:val="0"/>
        <w:keepNext w:val="0"/>
        <w:keepLines w:val="0"/>
        <w:shd w:val="clear" w:color="auto" w:fill="auto"/>
        <w:bidi w:val="0"/>
        <w:jc w:val="left"/>
        <w:spacing w:before="0" w:after="349" w:line="322" w:lineRule="exact"/>
        <w:ind w:left="5340" w:right="20" w:firstLine="0"/>
      </w:pPr>
      <w:r>
        <w:rPr>
          <w:lang w:val="ru-RU" w:eastAsia="ru-RU" w:bidi="ru-RU"/>
          <w:w w:val="100"/>
          <w:spacing w:val="0"/>
          <w:color w:val="000000"/>
          <w:position w:val="0"/>
        </w:rPr>
        <w:t>ш. Варшавское, д. 28 А, стр.1, эт. 6, оф. 16, г. Москва, 117105</w:t>
      </w:r>
    </w:p>
    <w:p>
      <w:pPr>
        <w:pStyle w:val="Style5"/>
        <w:widowControl w:val="0"/>
        <w:keepNext w:val="0"/>
        <w:keepLines w:val="0"/>
        <w:shd w:val="clear" w:color="auto" w:fill="auto"/>
        <w:bidi w:val="0"/>
        <w:jc w:val="left"/>
        <w:spacing w:before="0" w:after="352" w:line="260" w:lineRule="exact"/>
        <w:ind w:left="534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658" w:line="260" w:lineRule="exact"/>
        <w:ind w:left="5340" w:right="0" w:firstLine="0"/>
      </w:pPr>
      <w:r>
        <w:rPr>
          <w:lang w:val="ru-RU" w:eastAsia="ru-RU" w:bidi="ru-RU"/>
          <w:w w:val="100"/>
          <w:spacing w:val="0"/>
          <w:color w:val="000000"/>
          <w:position w:val="0"/>
        </w:rPr>
        <w:t>60-я Октября пр., д. 9, г. Москва, 117312</w:t>
      </w:r>
    </w:p>
    <w:p>
      <w:pPr>
        <w:pStyle w:val="Style7"/>
        <w:tabs>
          <w:tab w:leader="none" w:pos="9141" w:val="right"/>
          <w:tab w:leader="none" w:pos="10214" w:val="righ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РЕШЕНИЕ по делу № 077/06/106-18876/2021 о нарушении законодательства о контрактной системе 25.10.2021</w:t>
        <w:tab/>
        <w:t>г.</w:t>
        <w:tab/>
        <w:t>Москва</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Е.А. Мироновой,</w:t>
      </w:r>
    </w:p>
    <w:p>
      <w:pPr>
        <w:pStyle w:val="Style5"/>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Специалиста-эксперта отдела обжалования государственных закупок А.З. Касимовой,</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Специалиста-эксперта отдела обжалования государственных закупок А.А. Матюшенко,</w:t>
      </w:r>
    </w:p>
    <w:p>
      <w:pPr>
        <w:pStyle w:val="Style5"/>
        <w:widowControl w:val="0"/>
        <w:keepNext w:val="0"/>
        <w:keepLines w:val="0"/>
        <w:shd w:val="clear" w:color="auto" w:fill="auto"/>
        <w:bidi w:val="0"/>
        <w:jc w:val="left"/>
        <w:spacing w:before="0" w:after="0" w:line="322" w:lineRule="exact"/>
        <w:ind w:left="40" w:right="20" w:firstLine="68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w:t>
      </w:r>
    </w:p>
    <w:p>
      <w:pPr>
        <w:pStyle w:val="Style5"/>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ГБУЗ «ГП № 67 ДЗМ»: Ю.В. Потапкиной (по дов. №б/н от 22.10.2021),</w:t>
      </w:r>
    </w:p>
    <w:p>
      <w:pPr>
        <w:pStyle w:val="Style5"/>
        <w:tabs>
          <w:tab w:leader="none" w:pos="4115" w:val="center"/>
          <w:tab w:leader="none" w:pos="4566" w:val="left"/>
          <w:tab w:leader="none" w:pos="10214" w:val="right"/>
        </w:tabs>
        <w:widowControl w:val="0"/>
        <w:keepNext w:val="0"/>
        <w:keepLines w:val="0"/>
        <w:shd w:val="clear" w:color="auto" w:fill="auto"/>
        <w:bidi w:val="0"/>
        <w:jc w:val="left"/>
        <w:spacing w:before="0" w:after="0" w:line="322" w:lineRule="exact"/>
        <w:ind w:left="40" w:right="20" w:firstLine="680"/>
      </w:pPr>
      <w:r>
        <w:rPr>
          <w:lang w:val="ru-RU" w:eastAsia="ru-RU" w:bidi="ru-RU"/>
          <w:w w:val="100"/>
          <w:spacing w:val="0"/>
          <w:color w:val="000000"/>
          <w:position w:val="0"/>
        </w:rPr>
        <w:t>ООО «ЛайфМедика»: И.М. Ставер (по дов. №12/21 от 20.10.2021), рассмотрев жалобу ООО «ЛайфМедика» (далее — Заявитель) на действия ГБУЗ «ГП № 67 ДЗМ» (далее — Заказчик) при проведении электронного аукциона на право заключения государственного контракта на поставку одноразового белья для нужд ГБУЗ «ГП №</w:t>
        <w:tab/>
        <w:t>67</w:t>
        <w:tab/>
        <w:t>ДЗМ» (Закупка №</w:t>
        <w:tab/>
        <w:t>0373200585521000023)</w:t>
      </w:r>
    </w:p>
    <w:p>
      <w:pPr>
        <w:pStyle w:val="Style3"/>
        <w:framePr w:w="1685" w:h="394" w:wrap="around" w:vAnchor="text" w:hAnchor="margin" w:x="385" w:y="1345"/>
        <w:widowControl w:val="0"/>
        <w:keepNext w:val="0"/>
        <w:keepLines w:val="0"/>
        <w:shd w:val="clear" w:color="auto" w:fill="auto"/>
        <w:bidi w:val="0"/>
        <w:jc w:val="left"/>
        <w:spacing w:before="0" w:after="0" w:line="240" w:lineRule="auto"/>
        <w:ind w:left="0" w:right="0" w:firstLine="0"/>
      </w:pPr>
      <w:r>
        <w:rPr>
          <w:w w:val="100"/>
          <w:spacing w:val="0"/>
          <w:color w:val="000000"/>
          <w:position w:val="0"/>
        </w:rPr>
        <w:t>000083577795</w:t>
      </w:r>
    </w:p>
    <w:p>
      <w:pPr>
        <w:pStyle w:val="Style5"/>
        <w:widowControl w:val="0"/>
        <w:keepNext w:val="0"/>
        <w:keepLines w:val="0"/>
        <w:shd w:val="clear" w:color="auto" w:fill="auto"/>
        <w:bidi w:val="0"/>
        <w:jc w:val="both"/>
        <w:spacing w:before="0" w:after="0" w:line="322" w:lineRule="exact"/>
        <w:ind w:left="40" w:right="20" w:firstLine="0"/>
      </w:pPr>
      <w:r>
        <w:rPr>
          <w:lang w:val="ru-RU" w:eastAsia="ru-RU" w:bidi="ru-RU"/>
          <w:w w:val="100"/>
          <w:spacing w:val="0"/>
          <w:color w:val="000000"/>
          <w:position w:val="0"/>
        </w:rPr>
        <w:t>(далее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br w:type="page"/>
      </w:r>
    </w:p>
    <w:p>
      <w:pPr>
        <w:pStyle w:val="Style5"/>
        <w:widowControl w:val="0"/>
        <w:keepNext w:val="0"/>
        <w:keepLines w:val="0"/>
        <w:shd w:val="clear" w:color="auto" w:fill="auto"/>
        <w:bidi w:val="0"/>
        <w:jc w:val="both"/>
        <w:spacing w:before="0" w:after="349" w:line="322" w:lineRule="exact"/>
        <w:ind w:left="20" w:right="40" w:firstLine="0"/>
      </w:pPr>
      <w:r>
        <w:rPr>
          <w:lang w:val="ru-RU" w:eastAsia="ru-RU" w:bidi="ru-RU"/>
          <w:w w:val="100"/>
          <w:spacing w:val="0"/>
          <w:color w:val="000000"/>
          <w:position w:val="0"/>
        </w:rPr>
        <w:t>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9"/>
        <w:widowControl w:val="0"/>
        <w:keepNext/>
        <w:keepLines/>
        <w:shd w:val="clear" w:color="auto" w:fill="auto"/>
        <w:bidi w:val="0"/>
        <w:spacing w:before="0" w:after="304"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6" w:lineRule="exact"/>
        <w:ind w:left="20" w:right="40" w:firstLine="66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5"/>
        <w:widowControl w:val="0"/>
        <w:keepNext w:val="0"/>
        <w:keepLines w:val="0"/>
        <w:shd w:val="clear" w:color="auto" w:fill="auto"/>
        <w:bidi w:val="0"/>
        <w:jc w:val="both"/>
        <w:spacing w:before="0" w:after="0" w:line="326" w:lineRule="exact"/>
        <w:ind w:left="20" w:right="40" w:firstLine="660"/>
      </w:pPr>
      <w:r>
        <w:rPr>
          <w:lang w:val="ru-RU" w:eastAsia="ru-RU" w:bidi="ru-RU"/>
          <w:w w:val="100"/>
          <w:spacing w:val="0"/>
          <w:color w:val="000000"/>
          <w:position w:val="0"/>
        </w:rPr>
        <w:t>Заявитель обжалует действия аукционной комиссии Заказчика, выразившиеся в отказе в допуске Заявителю к участию в вышеуказанном аукционе.</w:t>
      </w:r>
    </w:p>
    <w:p>
      <w:pPr>
        <w:pStyle w:val="Style5"/>
        <w:widowControl w:val="0"/>
        <w:keepNext w:val="0"/>
        <w:keepLines w:val="0"/>
        <w:shd w:val="clear" w:color="auto" w:fill="auto"/>
        <w:bidi w:val="0"/>
        <w:jc w:val="both"/>
        <w:spacing w:before="0" w:after="0" w:line="326" w:lineRule="exact"/>
        <w:ind w:left="20" w:right="40" w:firstLine="66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от 20.10.2021 №ЕИ/64209/21, Комиссия Управления установила следующее.</w:t>
      </w:r>
    </w:p>
    <w:p>
      <w:pPr>
        <w:pStyle w:val="Style5"/>
        <w:tabs>
          <w:tab w:leader="none" w:pos="3212" w:val="right"/>
          <w:tab w:leader="none" w:pos="4240" w:val="left"/>
          <w:tab w:leader="none" w:pos="10198" w:val="right"/>
        </w:tabs>
        <w:widowControl w:val="0"/>
        <w:keepNext w:val="0"/>
        <w:keepLines w:val="0"/>
        <w:shd w:val="clear" w:color="auto" w:fill="auto"/>
        <w:bidi w:val="0"/>
        <w:jc w:val="both"/>
        <w:spacing w:before="0" w:after="0" w:line="326" w:lineRule="exact"/>
        <w:ind w:left="20" w:right="40" w:firstLine="660"/>
      </w:pPr>
      <w:r>
        <w:rPr>
          <w:lang w:val="ru-RU" w:eastAsia="ru-RU" w:bidi="ru-RU"/>
          <w:w w:val="100"/>
          <w:spacing w:val="0"/>
          <w:color w:val="000000"/>
          <w:position w:val="0"/>
        </w:rPr>
        <w:t>Согласно протоколу рассмотрения заявок на участие в аукционе от 15.10.2021 №0373200585521000023-1 заявка Заявителя (номер заявки 4) признана не</w:t>
        <w:tab/>
        <w:t>соответствующей</w:t>
        <w:tab/>
        <w:t>требованиям аукционной документации</w:t>
        <w:tab/>
        <w:t>на</w:t>
      </w:r>
    </w:p>
    <w:p>
      <w:pPr>
        <w:pStyle w:val="Style5"/>
        <w:tabs>
          <w:tab w:leader="none" w:pos="4113" w:val="right"/>
          <w:tab w:leader="none" w:pos="4254" w:val="left"/>
          <w:tab w:leader="none" w:pos="4629" w:val="left"/>
          <w:tab w:leader="none" w:pos="6479" w:val="left"/>
        </w:tabs>
        <w:widowControl w:val="0"/>
        <w:keepNext w:val="0"/>
        <w:keepLines w:val="0"/>
        <w:shd w:val="clear" w:color="auto" w:fill="auto"/>
        <w:bidi w:val="0"/>
        <w:jc w:val="both"/>
        <w:spacing w:before="0" w:after="0" w:line="326" w:lineRule="exact"/>
        <w:ind w:left="20" w:right="0" w:firstLine="0"/>
      </w:pPr>
      <w:r>
        <w:rPr>
          <w:lang w:val="ru-RU" w:eastAsia="ru-RU" w:bidi="ru-RU"/>
          <w:w w:val="100"/>
          <w:spacing w:val="0"/>
          <w:color w:val="000000"/>
          <w:position w:val="0"/>
        </w:rPr>
        <w:t>следующем основании:</w:t>
        <w:tab/>
        <w:t>«п. 2.</w:t>
        <w:tab/>
        <w:t>ч.</w:t>
        <w:tab/>
        <w:t>4 ст. 67 -</w:t>
        <w:tab/>
        <w:t>несоответствие информации,</w:t>
      </w:r>
    </w:p>
    <w:p>
      <w:pPr>
        <w:pStyle w:val="Style5"/>
        <w:widowControl w:val="0"/>
        <w:keepNext w:val="0"/>
        <w:keepLines w:val="0"/>
        <w:shd w:val="clear" w:color="auto" w:fill="auto"/>
        <w:bidi w:val="0"/>
        <w:jc w:val="both"/>
        <w:spacing w:before="0" w:after="0" w:line="326" w:lineRule="exact"/>
        <w:ind w:left="20" w:right="40" w:firstLine="0"/>
      </w:pPr>
      <w:r>
        <w:rPr>
          <w:lang w:val="ru-RU" w:eastAsia="ru-RU" w:bidi="ru-RU"/>
          <w:w w:val="100"/>
          <w:spacing w:val="0"/>
          <w:color w:val="000000"/>
          <w:position w:val="0"/>
        </w:rPr>
        <w:t>предусмотренной ч. 3 ст. 66 44-ФЗ, требованиям документации о таком аукционе. В п.2,3 указаны одинаковые характеристики халатов: полуобхват груди 80см, проем рукава 35см, длина рукава 64см, хотя размеры халатов разные».</w:t>
      </w:r>
    </w:p>
    <w:p>
      <w:pPr>
        <w:pStyle w:val="Style5"/>
        <w:tabs>
          <w:tab w:leader="none" w:pos="3212" w:val="right"/>
          <w:tab w:leader="none" w:pos="4113" w:val="right"/>
          <w:tab w:leader="none" w:pos="4259" w:val="left"/>
          <w:tab w:leader="none" w:pos="4602" w:val="left"/>
          <w:tab w:leader="none" w:pos="6496" w:val="left"/>
          <w:tab w:leader="none" w:pos="8425" w:val="left"/>
          <w:tab w:leader="none" w:pos="10198" w:val="right"/>
        </w:tabs>
        <w:widowControl w:val="0"/>
        <w:keepNext w:val="0"/>
        <w:keepLines w:val="0"/>
        <w:shd w:val="clear" w:color="auto" w:fill="auto"/>
        <w:bidi w:val="0"/>
        <w:jc w:val="both"/>
        <w:spacing w:before="0" w:after="0" w:line="326" w:lineRule="exact"/>
        <w:ind w:left="20" w:right="40" w:firstLine="660"/>
      </w:pPr>
      <w:r>
        <w:rPr>
          <w:lang w:val="ru-RU" w:eastAsia="ru-RU" w:bidi="ru-RU"/>
          <w:w w:val="100"/>
          <w:spacing w:val="0"/>
          <w:color w:val="000000"/>
          <w:position w:val="0"/>
        </w:rPr>
        <w:t>В соответствии с п.1 ч.1 ст.64 Закона о контрактной системе документация об электронном</w:t>
        <w:tab/>
        <w:t>аукционе</w:t>
        <w:tab/>
        <w:t>наряду</w:t>
        <w:tab/>
        <w:t>с</w:t>
        <w:tab/>
        <w:t>информацией,</w:t>
        <w:tab/>
        <w:t>указанной в</w:t>
        <w:tab/>
        <w:t>извещении</w:t>
        <w:tab/>
        <w:t>о</w:t>
      </w:r>
    </w:p>
    <w:p>
      <w:pPr>
        <w:pStyle w:val="Style5"/>
        <w:widowControl w:val="0"/>
        <w:keepNext w:val="0"/>
        <w:keepLines w:val="0"/>
        <w:shd w:val="clear" w:color="auto" w:fill="auto"/>
        <w:bidi w:val="0"/>
        <w:jc w:val="both"/>
        <w:spacing w:before="0" w:after="0" w:line="326" w:lineRule="exact"/>
        <w:ind w:left="20" w:right="40" w:firstLine="0"/>
      </w:pPr>
      <w:r>
        <w:rPr>
          <w:lang w:val="ru-RU" w:eastAsia="ru-RU" w:bidi="ru-RU"/>
          <w:w w:val="100"/>
          <w:spacing w:val="0"/>
          <w:color w:val="000000"/>
          <w:position w:val="0"/>
        </w:rPr>
        <w:t>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w:t>
      </w:r>
    </w:p>
    <w:p>
      <w:pPr>
        <w:pStyle w:val="Style5"/>
        <w:tabs>
          <w:tab w:leader="none" w:pos="3212" w:val="right"/>
          <w:tab w:leader="none" w:pos="4113" w:val="right"/>
          <w:tab w:leader="none" w:pos="4259" w:val="left"/>
          <w:tab w:leader="none" w:pos="4602" w:val="left"/>
          <w:tab w:leader="none" w:pos="6496" w:val="left"/>
          <w:tab w:leader="none" w:pos="8425" w:val="left"/>
          <w:tab w:leader="none" w:pos="10198" w:val="right"/>
        </w:tabs>
        <w:widowControl w:val="0"/>
        <w:keepNext w:val="0"/>
        <w:keepLines w:val="0"/>
        <w:shd w:val="clear" w:color="auto" w:fill="auto"/>
        <w:bidi w:val="0"/>
        <w:jc w:val="both"/>
        <w:spacing w:before="0" w:after="0" w:line="326" w:lineRule="exact"/>
        <w:ind w:left="20" w:right="40" w:firstLine="660"/>
      </w:pPr>
      <w:r>
        <w:rPr>
          <w:lang w:val="ru-RU" w:eastAsia="ru-RU" w:bidi="ru-RU"/>
          <w:w w:val="100"/>
          <w:spacing w:val="0"/>
          <w:color w:val="000000"/>
          <w:position w:val="0"/>
        </w:rPr>
        <w:t>В соответствии п.2 ч.1 ст.64 Закона о контрактной системе документация об электронном</w:t>
        <w:tab/>
        <w:t>аукционе</w:t>
        <w:tab/>
        <w:t>наряду</w:t>
        <w:tab/>
        <w:t>с</w:t>
        <w:tab/>
        <w:t>информацией,</w:t>
        <w:tab/>
        <w:t>указанной в</w:t>
        <w:tab/>
        <w:t>извещении</w:t>
        <w:tab/>
        <w:t>о</w:t>
      </w:r>
    </w:p>
    <w:p>
      <w:pPr>
        <w:pStyle w:val="Style5"/>
        <w:widowControl w:val="0"/>
        <w:keepNext w:val="0"/>
        <w:keepLines w:val="0"/>
        <w:shd w:val="clear" w:color="auto" w:fill="auto"/>
        <w:bidi w:val="0"/>
        <w:jc w:val="both"/>
        <w:spacing w:before="0" w:after="0" w:line="326" w:lineRule="exact"/>
        <w:ind w:left="20" w:right="40" w:firstLine="0"/>
      </w:pPr>
      <w:r>
        <w:rPr>
          <w:lang w:val="ru-RU" w:eastAsia="ru-RU" w:bidi="ru-RU"/>
          <w:w w:val="100"/>
          <w:spacing w:val="0"/>
          <w:color w:val="000000"/>
          <w:position w:val="0"/>
        </w:rPr>
        <w:t>проведении такого аукциона, должна содержать требования к содержанию, составу заявки на участие в таком аукционе в соответствии с ч.3-6 ст.66 Закона о контрактной системе и инструкцию по ее заполнению.</w:t>
      </w:r>
    </w:p>
    <w:p>
      <w:pPr>
        <w:pStyle w:val="Style5"/>
        <w:widowControl w:val="0"/>
        <w:keepNext w:val="0"/>
        <w:keepLines w:val="0"/>
        <w:shd w:val="clear" w:color="auto" w:fill="auto"/>
        <w:bidi w:val="0"/>
        <w:jc w:val="both"/>
        <w:spacing w:before="0" w:after="0" w:line="326" w:lineRule="exact"/>
        <w:ind w:left="20" w:right="40" w:firstLine="660"/>
      </w:pPr>
      <w:r>
        <w:rPr>
          <w:lang w:val="ru-RU" w:eastAsia="ru-RU" w:bidi="ru-RU"/>
          <w:w w:val="100"/>
          <w:spacing w:val="0"/>
          <w:color w:val="000000"/>
          <w:position w:val="0"/>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5"/>
        <w:widowControl w:val="0"/>
        <w:keepNext w:val="0"/>
        <w:keepLines w:val="0"/>
        <w:shd w:val="clear" w:color="auto" w:fill="auto"/>
        <w:bidi w:val="0"/>
        <w:jc w:val="both"/>
        <w:spacing w:before="0" w:after="0" w:line="326" w:lineRule="exact"/>
        <w:ind w:left="20" w:right="40" w:firstLine="660"/>
      </w:pPr>
      <w:r>
        <w:rPr>
          <w:lang w:val="ru-RU" w:eastAsia="ru-RU" w:bidi="ru-RU"/>
          <w:w w:val="100"/>
          <w:spacing w:val="0"/>
          <w:color w:val="000000"/>
          <w:position w:val="0"/>
        </w:rPr>
        <w:t>В соответствии с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jc w:val="both"/>
        <w:spacing w:before="0" w:after="0" w:line="331" w:lineRule="exact"/>
        <w:ind w:left="20" w:right="20" w:firstLine="660"/>
      </w:pPr>
      <w:r>
        <w:rPr>
          <w:lang w:val="ru-RU" w:eastAsia="ru-RU" w:bidi="ru-RU"/>
          <w:w w:val="100"/>
          <w:spacing w:val="0"/>
          <w:color w:val="000000"/>
          <w:position w:val="0"/>
        </w:rPr>
        <w:t>Комиссией Управления установлено, что Заказчиком в технической части Аукционной документации установлены требования к товарам, в частности по п.2 «Халаты хирургические в индивидуальной упаковке не стерильные»: «полуобхват груди 80+/-1см», «проем рукава 35+/-1см», «длина рукава 64+/-1см», п. 3 «Халаты хирургические в индивидуальной упаковке не стерильные»: «полуобхват груди 80+/-1см», «проем рукава 35+/-1см», «длина рукава 64+/-1см».</w:t>
      </w:r>
    </w:p>
    <w:p>
      <w:pPr>
        <w:pStyle w:val="Style5"/>
        <w:widowControl w:val="0"/>
        <w:keepNext w:val="0"/>
        <w:keepLines w:val="0"/>
        <w:shd w:val="clear" w:color="auto" w:fill="auto"/>
        <w:bidi w:val="0"/>
        <w:jc w:val="both"/>
        <w:spacing w:before="0" w:after="0" w:line="331" w:lineRule="exact"/>
        <w:ind w:left="20" w:right="20" w:firstLine="660"/>
      </w:pPr>
      <w:r>
        <w:rPr>
          <w:lang w:val="ru-RU" w:eastAsia="ru-RU" w:bidi="ru-RU"/>
          <w:w w:val="100"/>
          <w:spacing w:val="0"/>
          <w:color w:val="000000"/>
          <w:position w:val="0"/>
        </w:rPr>
        <w:t>Согласно ч.3 ст.66 Закона о контрактной системе первая часть заявки на участие в электронном аукционе, за исключением случая, предусмотренного ч.3.1 ст. 66 Закона о контрактной системе, должна содержать:</w:t>
      </w:r>
    </w:p>
    <w:p>
      <w:pPr>
        <w:pStyle w:val="Style5"/>
        <w:numPr>
          <w:ilvl w:val="0"/>
          <w:numId w:val="1"/>
        </w:numPr>
        <w:widowControl w:val="0"/>
        <w:keepNext w:val="0"/>
        <w:keepLines w:val="0"/>
        <w:shd w:val="clear" w:color="auto" w:fill="auto"/>
        <w:bidi w:val="0"/>
        <w:jc w:val="both"/>
        <w:spacing w:before="0" w:after="0" w:line="331" w:lineRule="exact"/>
        <w:ind w:left="20" w:right="20" w:firstLine="66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5"/>
        <w:numPr>
          <w:ilvl w:val="0"/>
          <w:numId w:val="1"/>
        </w:numPr>
        <w:widowControl w:val="0"/>
        <w:keepNext w:val="0"/>
        <w:keepLines w:val="0"/>
        <w:shd w:val="clear" w:color="auto" w:fill="auto"/>
        <w:bidi w:val="0"/>
        <w:jc w:val="both"/>
        <w:spacing w:before="0" w:after="0" w:line="331" w:lineRule="exact"/>
        <w:ind w:left="20" w:right="20" w:firstLine="660"/>
      </w:pPr>
      <w:r>
        <w:rPr>
          <w:lang w:val="ru-RU" w:eastAsia="ru-RU" w:bidi="ru-RU"/>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5"/>
        <w:widowControl w:val="0"/>
        <w:keepNext w:val="0"/>
        <w:keepLines w:val="0"/>
        <w:shd w:val="clear" w:color="auto" w:fill="auto"/>
        <w:bidi w:val="0"/>
        <w:jc w:val="both"/>
        <w:spacing w:before="0" w:after="0" w:line="331" w:lineRule="exact"/>
        <w:ind w:left="20" w:right="0" w:firstLine="660"/>
      </w:pPr>
      <w:r>
        <w:rPr>
          <w:lang w:val="ru-RU" w:eastAsia="ru-RU" w:bidi="ru-RU"/>
          <w:w w:val="100"/>
          <w:spacing w:val="0"/>
          <w:color w:val="000000"/>
          <w:position w:val="0"/>
        </w:rPr>
        <w:t>а) наименование страны происхождения товара;</w:t>
      </w:r>
    </w:p>
    <w:p>
      <w:pPr>
        <w:pStyle w:val="Style5"/>
        <w:widowControl w:val="0"/>
        <w:keepNext w:val="0"/>
        <w:keepLines w:val="0"/>
        <w:shd w:val="clear" w:color="auto" w:fill="auto"/>
        <w:bidi w:val="0"/>
        <w:jc w:val="both"/>
        <w:spacing w:before="0" w:after="0" w:line="331" w:lineRule="exact"/>
        <w:ind w:left="20" w:right="20" w:firstLine="66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пп. «б» п.2 ч.3 ст.66 Закона о контрактной системе,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5"/>
        <w:widowControl w:val="0"/>
        <w:keepNext w:val="0"/>
        <w:keepLines w:val="0"/>
        <w:shd w:val="clear" w:color="auto" w:fill="auto"/>
        <w:bidi w:val="0"/>
        <w:jc w:val="both"/>
        <w:spacing w:before="0" w:after="0" w:line="331" w:lineRule="exact"/>
        <w:ind w:left="20" w:right="20" w:firstLine="660"/>
      </w:pPr>
      <w:r>
        <w:rPr>
          <w:lang w:val="ru-RU" w:eastAsia="ru-RU" w:bidi="ru-RU"/>
          <w:w w:val="100"/>
          <w:spacing w:val="0"/>
          <w:color w:val="000000"/>
          <w:position w:val="0"/>
        </w:rPr>
        <w:t>В силу ч.1 ст.67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pPr>
        <w:pStyle w:val="Style5"/>
        <w:widowControl w:val="0"/>
        <w:keepNext w:val="0"/>
        <w:keepLines w:val="0"/>
        <w:shd w:val="clear" w:color="auto" w:fill="auto"/>
        <w:bidi w:val="0"/>
        <w:jc w:val="both"/>
        <w:spacing w:before="0" w:after="0" w:line="331" w:lineRule="exact"/>
        <w:ind w:left="20" w:right="20" w:firstLine="660"/>
      </w:pPr>
      <w:r>
        <w:rPr>
          <w:lang w:val="ru-RU" w:eastAsia="ru-RU" w:bidi="ru-RU"/>
          <w:w w:val="100"/>
          <w:spacing w:val="0"/>
          <w:color w:val="000000"/>
          <w:position w:val="0"/>
        </w:rPr>
        <w:t>На заседании Комиссии Управления установлено, что в составе первой части заявки участник закупки выразил согласие на поставку товаров на условиях, предусмотренных документацией об аукционе, а также представил сведения о товарах, в частности по п. 2 «Комплект одежды врача-инфекциониста защитный специально для работы с возбудителями 1-2 гр. патогенности в закрытом помещении из нетканых материалов одноразовый нестерильный, в составе комплекта: Халат хирургический р. 48-50»: «полуобхват груди 80см», «проем рукава 35см», «длина рукава 64см», п. 3 «Комплект одежды врача-инфекциониста защитный специально для работы с возбудителями 1-2 гр. патогенности в закрытом помещении из нетканых материалов одноразовый нестерильный, в составе комплекта: Халат хирургический р. 52-54»: «полуобхват груди 80 см», «проем рукава 35 см», «длина рукава 64 см», что не противоречит требованиям аукционной документации.</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Ч.4 ст. 67 Закона о контрактной системе установлено, что участник электронного аукциона не допускается к участию в нем в случае:</w:t>
      </w:r>
    </w:p>
    <w:p>
      <w:pPr>
        <w:pStyle w:val="Style5"/>
        <w:numPr>
          <w:ilvl w:val="0"/>
          <w:numId w:val="3"/>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непредставления информации, предусмотренной ч.3 ст. 66 Закона о контрактной системе, или предоставления недостоверной информации;</w:t>
      </w:r>
    </w:p>
    <w:p>
      <w:pPr>
        <w:pStyle w:val="Style5"/>
        <w:numPr>
          <w:ilvl w:val="0"/>
          <w:numId w:val="3"/>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несоответствия информации, предусмотренной ч.3 ст. 66 Закона о контрактной системе, требованиям документации о таком аукционе.</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 соответствие с ч.5 ст.67 Закона о контрактной системе отказ в допуске к участию в электронном аукционе по основаниям, не предусмотренным</w:t>
      </w:r>
    </w:p>
    <w:p>
      <w:pPr>
        <w:pStyle w:val="Style5"/>
        <w:numPr>
          <w:ilvl w:val="0"/>
          <w:numId w:val="5"/>
        </w:numPr>
        <w:tabs>
          <w:tab w:leader="none" w:pos="471" w:val="left"/>
        </w:tabs>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ст. 67 Закона о контрактной системе, не допускается.</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Таким образом, действия аукционной комиссии Заказчика в части отказа в допуске Заявителю к участию в электронном аукционе по основаниям, указанным в протоколе рассмотрения заявок на участие в электронном аукционе, нарушают положения ч.5 ст.67 Закона о контрактной системе, а также содержат признаки состава административного правонарушения, ответственность за которое предусмотрена ч.2 ст.7.30 Кодекса об административных правонарушениях.</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Одновременно с этим в ходе проведения внеплановой проверки Комиссией Управления определено, что в технической части аукционной документации Заказчиком установлены неправомерные требования к товарам по п. «Халаты хирургические в индивидуальной упаковке не стерильные», в частности:</w:t>
      </w:r>
    </w:p>
    <w:p>
      <w:pPr>
        <w:pStyle w:val="Style5"/>
        <w:numPr>
          <w:ilvl w:val="0"/>
          <w:numId w:val="7"/>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по п.2: «Размер 48-50. Длина халата 140-145 см, полуобхват груди 80+/-1см, проем рукава 35+/-1см, длина рукава 64+/-1см»,</w:t>
      </w:r>
    </w:p>
    <w:p>
      <w:pPr>
        <w:pStyle w:val="Style5"/>
        <w:numPr>
          <w:ilvl w:val="0"/>
          <w:numId w:val="7"/>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по п.3: «Размер 52-54. Длина халата 140-145 см, полуобхват груди 80+/-1см, проем рукава 35+/-1см, длина рукава 64+/-1см», поскольку в рамках разных размеров изделий участники закупки вправе указать одинаковые параметры предлагаемого товара.</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На заседании Комиссии Управления представитель Заказчика пояснил, что параметры халатов должны быть указаны в зависимости от установленного размерного ряда. Так, если по п. 2 требуется размер 48-50, то в данном случае значения установленных характеристик должны быть уменьшены. И, наоборот, по п. 3 необходим к поставке размер 52-54, соответственно, значения требуемых характеристик должны быть увеличены.</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Вместе с тем Комиссия Управления, отмечает, что данные обстоятельства из аукционной документации прямо не следуют.</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Таким образом, вышеуказанные требования сформированы таким образом, что вводят участников закупки в заблуждение и позволяют предоставить значения, которые формально соответствуют требованиям аукционной документации, но одновременно не отвечают действительности, что свидетельствует о нарушении п.1</w:t>
      </w:r>
    </w:p>
    <w:p>
      <w:pPr>
        <w:pStyle w:val="Style5"/>
        <w:numPr>
          <w:ilvl w:val="0"/>
          <w:numId w:val="9"/>
        </w:numPr>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 xml:space="preserve"> ст.33 Закона о контрактной системе, а также содержит признаки состава административного правонарушения, ответственность за которое предусмотрена</w:t>
      </w:r>
    </w:p>
    <w:p>
      <w:pPr>
        <w:pStyle w:val="Style5"/>
        <w:numPr>
          <w:ilvl w:val="0"/>
          <w:numId w:val="11"/>
        </w:numPr>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 xml:space="preserve"> ст.7.30 Кодекса об административных правонарушениях.</w:t>
      </w:r>
    </w:p>
    <w:p>
      <w:pPr>
        <w:pStyle w:val="Style5"/>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Исследовав представленные материалы, руководствуясь Административным регламентом и Законом о контрактной системе, Комиссия Управления</w:t>
      </w:r>
    </w:p>
    <w:p>
      <w:pPr>
        <w:pStyle w:val="Style9"/>
        <w:widowControl w:val="0"/>
        <w:keepNext/>
        <w:keepLines/>
        <w:shd w:val="clear" w:color="auto" w:fill="auto"/>
        <w:bidi w:val="0"/>
        <w:spacing w:before="0" w:after="304"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5"/>
        <w:numPr>
          <w:ilvl w:val="0"/>
          <w:numId w:val="13"/>
        </w:numPr>
        <w:widowControl w:val="0"/>
        <w:keepNext w:val="0"/>
        <w:keepLines w:val="0"/>
        <w:shd w:val="clear" w:color="auto" w:fill="auto"/>
        <w:bidi w:val="0"/>
        <w:jc w:val="both"/>
        <w:spacing w:before="0" w:after="0" w:line="326" w:lineRule="exact"/>
        <w:ind w:left="0" w:right="20" w:firstLine="680"/>
      </w:pPr>
      <w:r>
        <w:rPr>
          <w:lang w:val="ru-RU" w:eastAsia="ru-RU" w:bidi="ru-RU"/>
          <w:w w:val="100"/>
          <w:spacing w:val="0"/>
          <w:color w:val="000000"/>
          <w:position w:val="0"/>
        </w:rPr>
        <w:t xml:space="preserve"> Признать жалобу ООО «ЛайфМедика» на действия аукционной комиссии ГБУЗ «ГП № 67 ДЗМ» обоснованной.</w:t>
      </w:r>
    </w:p>
    <w:p>
      <w:pPr>
        <w:pStyle w:val="Style5"/>
        <w:numPr>
          <w:ilvl w:val="0"/>
          <w:numId w:val="13"/>
        </w:numPr>
        <w:widowControl w:val="0"/>
        <w:keepNext w:val="0"/>
        <w:keepLines w:val="0"/>
        <w:shd w:val="clear" w:color="auto" w:fill="auto"/>
        <w:bidi w:val="0"/>
        <w:jc w:val="both"/>
        <w:spacing w:before="0" w:after="0" w:line="322" w:lineRule="exact"/>
        <w:ind w:left="0" w:right="0" w:firstLine="680"/>
      </w:pPr>
      <w:r>
        <w:rPr>
          <w:lang w:val="ru-RU" w:eastAsia="ru-RU" w:bidi="ru-RU"/>
          <w:w w:val="100"/>
          <w:spacing w:val="0"/>
          <w:color w:val="000000"/>
          <w:position w:val="0"/>
        </w:rPr>
        <w:t xml:space="preserve"> Признать в действиях аукционной комиссии Заказчика нарушение</w:t>
      </w:r>
    </w:p>
    <w:p>
      <w:pPr>
        <w:pStyle w:val="Style5"/>
        <w:numPr>
          <w:ilvl w:val="0"/>
          <w:numId w:val="5"/>
        </w:numPr>
        <w:tabs>
          <w:tab w:leader="none" w:pos="536" w:val="left"/>
        </w:tabs>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ст.67 Закона о контрактной системе, в действиях Заказчика нарушение п.1 ч.1 ст.33 Закона о контрактной системе.</w:t>
      </w:r>
    </w:p>
    <w:p>
      <w:pPr>
        <w:pStyle w:val="Style5"/>
        <w:numPr>
          <w:ilvl w:val="0"/>
          <w:numId w:val="13"/>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5"/>
        <w:numPr>
          <w:ilvl w:val="0"/>
          <w:numId w:val="13"/>
        </w:numPr>
        <w:widowControl w:val="0"/>
        <w:keepNext w:val="0"/>
        <w:keepLines w:val="0"/>
        <w:shd w:val="clear" w:color="auto" w:fill="auto"/>
        <w:bidi w:val="0"/>
        <w:jc w:val="both"/>
        <w:spacing w:before="0" w:after="296" w:line="317" w:lineRule="exact"/>
        <w:ind w:left="0" w:right="20" w:firstLine="68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jc w:val="both"/>
        <w:spacing w:before="0" w:after="47" w:line="322" w:lineRule="exact"/>
        <w:ind w:left="0" w:right="20" w:firstLine="680"/>
      </w:pPr>
      <w:r>
        <w:rPr>
          <w:lang w:val="ru-RU" w:eastAsia="ru-RU" w:bidi="ru-RU"/>
          <w:w w:val="100"/>
          <w:spacing w:val="0"/>
          <w:color w:val="000000"/>
          <w:position w:val="0"/>
        </w:rPr>
        <w:t>Решение может быть обжаловано в суде (Арбитражном суде г. Москвы) в порядке, установленном гл. 24 АПК РФ, в течение 3(трех) месяцев с даты его принятия.</w:t>
      </w:r>
    </w:p>
    <w:p>
      <w:pPr>
        <w:pStyle w:val="Style5"/>
        <w:tabs>
          <w:tab w:leader="none" w:pos="10138" w:val="right"/>
          <w:tab w:leader="none" w:pos="10128"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Е.А.</w:t>
        <w:tab/>
        <w:t>Миронова</w:t>
      </w:r>
    </w:p>
    <w:p>
      <w:pPr>
        <w:pStyle w:val="Style5"/>
        <w:tabs>
          <w:tab w:leader="none" w:pos="8849" w:val="right"/>
          <w:tab w:leader="none" w:pos="10138"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А.З.</w:t>
        <w:tab/>
        <w:t>Касимова</w:t>
      </w:r>
    </w:p>
    <w:p>
      <w:pPr>
        <w:pStyle w:val="Style5"/>
        <w:widowControl w:val="0"/>
        <w:keepNext w:val="0"/>
        <w:keepLines w:val="0"/>
        <w:shd w:val="clear" w:color="auto" w:fill="auto"/>
        <w:bidi w:val="0"/>
        <w:jc w:val="right"/>
        <w:spacing w:before="0" w:after="5707" w:line="638" w:lineRule="exact"/>
        <w:ind w:left="0" w:right="20" w:firstLine="0"/>
      </w:pPr>
      <w:r>
        <w:rPr>
          <w:lang w:val="ru-RU" w:eastAsia="ru-RU" w:bidi="ru-RU"/>
          <w:w w:val="100"/>
          <w:spacing w:val="0"/>
          <w:color w:val="000000"/>
          <w:position w:val="0"/>
        </w:rPr>
        <w:t>А.А. Матюшенко</w:t>
      </w:r>
    </w:p>
    <w:p>
      <w:pPr>
        <w:pStyle w:val="Style11"/>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Исп. Касимова А.З. тел. 8 495-784-75-05</w:t>
      </w:r>
    </w:p>
    <w:sectPr>
      <w:footnotePr>
        <w:pos w:val="pageBottom"/>
        <w:numFmt w:val="decimal"/>
        <w:numRestart w:val="continuous"/>
      </w:footnotePr>
      <w:type w:val="continuous"/>
      <w:pgSz w:w="11906" w:h="16838"/>
      <w:pgMar w:top="1113" w:left="843" w:right="819"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4"/>
      <w:numFmt w:val="decimal"/>
      <w:lvlText w:val="ч.%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4.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3)_"/>
    <w:basedOn w:val="DefaultParagraphFont"/>
    <w:link w:val="Style11"/>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780" w:line="322" w:lineRule="exact"/>
      <w:ind w:firstLine="4380"/>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both"/>
      <w:spacing w:before="534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