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7" w:line="260" w:lineRule="exact"/>
        <w:ind w:left="5400" w:right="0" w:firstLine="0"/>
      </w:pPr>
      <w:r>
        <w:rPr>
          <w:lang w:val="ru-RU" w:eastAsia="ru-RU" w:bidi="ru-RU"/>
          <w:w w:val="100"/>
          <w:spacing w:val="0"/>
          <w:color w:val="000000"/>
          <w:position w:val="0"/>
        </w:rPr>
        <w:t>ГБУ ПНИ № 33</w:t>
      </w:r>
    </w:p>
    <w:p>
      <w:pPr>
        <w:pStyle w:val="Style5"/>
        <w:widowControl w:val="0"/>
        <w:keepNext w:val="0"/>
        <w:keepLines w:val="0"/>
        <w:shd w:val="clear" w:color="auto" w:fill="auto"/>
        <w:bidi w:val="0"/>
        <w:jc w:val="left"/>
        <w:spacing w:before="0" w:after="346" w:line="317" w:lineRule="exact"/>
        <w:ind w:left="5400" w:right="140" w:firstLine="0"/>
      </w:pPr>
      <w:r>
        <w:rPr>
          <w:lang w:val="ru-RU" w:eastAsia="ru-RU" w:bidi="ru-RU"/>
          <w:w w:val="100"/>
          <w:spacing w:val="0"/>
          <w:color w:val="000000"/>
          <w:position w:val="0"/>
        </w:rPr>
        <w:t>ул. Центральная, д. 50, с. Кудиново, г. Ногинск, 142435</w:t>
      </w:r>
    </w:p>
    <w:p>
      <w:pPr>
        <w:pStyle w:val="Style5"/>
        <w:widowControl w:val="0"/>
        <w:keepNext w:val="0"/>
        <w:keepLines w:val="0"/>
        <w:shd w:val="clear" w:color="auto" w:fill="auto"/>
        <w:bidi w:val="0"/>
        <w:jc w:val="left"/>
        <w:spacing w:before="0" w:after="308" w:line="260" w:lineRule="exact"/>
        <w:ind w:left="5400" w:right="0" w:firstLine="0"/>
      </w:pPr>
      <w:r>
        <w:rPr>
          <w:lang w:val="ru-RU" w:eastAsia="ru-RU" w:bidi="ru-RU"/>
          <w:w w:val="100"/>
          <w:spacing w:val="0"/>
          <w:color w:val="000000"/>
          <w:position w:val="0"/>
        </w:rPr>
        <w:t>ООО «Астрон»</w:t>
      </w:r>
    </w:p>
    <w:p>
      <w:pPr>
        <w:pStyle w:val="Style5"/>
        <w:widowControl w:val="0"/>
        <w:keepNext w:val="0"/>
        <w:keepLines w:val="0"/>
        <w:shd w:val="clear" w:color="auto" w:fill="auto"/>
        <w:bidi w:val="0"/>
        <w:jc w:val="left"/>
        <w:spacing w:before="0" w:after="349" w:line="322" w:lineRule="exact"/>
        <w:ind w:left="5400" w:right="140" w:firstLine="0"/>
      </w:pPr>
      <w:r>
        <w:rPr>
          <w:lang w:val="ru-RU" w:eastAsia="ru-RU" w:bidi="ru-RU"/>
          <w:w w:val="100"/>
          <w:spacing w:val="0"/>
          <w:color w:val="000000"/>
          <w:position w:val="0"/>
        </w:rPr>
        <w:t>пр-д. 4807, д. 1, стр. 1, оф. 1219, г. Зеленоград, г. Москва, 124489</w:t>
      </w:r>
    </w:p>
    <w:p>
      <w:pPr>
        <w:pStyle w:val="Style5"/>
        <w:widowControl w:val="0"/>
        <w:keepNext w:val="0"/>
        <w:keepLines w:val="0"/>
        <w:shd w:val="clear" w:color="auto" w:fill="auto"/>
        <w:bidi w:val="0"/>
        <w:jc w:val="left"/>
        <w:spacing w:before="0" w:after="352" w:line="260" w:lineRule="exact"/>
        <w:ind w:left="540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298" w:line="260" w:lineRule="exact"/>
        <w:ind w:left="5400" w:right="0" w:firstLine="0"/>
      </w:pPr>
      <w:r>
        <w:rPr>
          <w:lang w:val="ru-RU" w:eastAsia="ru-RU" w:bidi="ru-RU"/>
          <w:w w:val="100"/>
          <w:spacing w:val="0"/>
          <w:color w:val="000000"/>
          <w:position w:val="0"/>
        </w:rPr>
        <w:t>60-я Октября пр., д. 9, г. Москва, 117312</w:t>
      </w:r>
    </w:p>
    <w:p>
      <w:pPr>
        <w:pStyle w:val="Style7"/>
        <w:tabs>
          <w:tab w:leader="none" w:pos="9206" w:val="right"/>
          <w:tab w:leader="none" w:pos="10257" w:val="right"/>
        </w:tabs>
        <w:widowControl w:val="0"/>
        <w:keepNext w:val="0"/>
        <w:keepLines w:val="0"/>
        <w:shd w:val="clear" w:color="auto" w:fill="auto"/>
        <w:bidi w:val="0"/>
        <w:jc w:val="left"/>
        <w:spacing w:before="0" w:after="0"/>
        <w:ind w:left="100" w:right="20"/>
      </w:pPr>
      <w:r>
        <w:rPr>
          <w:lang w:val="ru-RU" w:eastAsia="ru-RU" w:bidi="ru-RU"/>
          <w:w w:val="100"/>
          <w:spacing w:val="0"/>
          <w:color w:val="000000"/>
          <w:position w:val="0"/>
        </w:rPr>
        <w:t>РЕШЕНИЕ по делу №077/06/106-18997/2021 о нарушении законодательства о контрактной системе 26.10.2021</w:t>
        <w:tab/>
        <w:t>г.</w:t>
        <w:tab/>
        <w:t>Москва</w:t>
      </w:r>
    </w:p>
    <w:p>
      <w:pPr>
        <w:pStyle w:val="Style5"/>
        <w:widowControl w:val="0"/>
        <w:keepNext w:val="0"/>
        <w:keepLines w:val="0"/>
        <w:shd w:val="clear" w:color="auto" w:fill="auto"/>
        <w:bidi w:val="0"/>
        <w:jc w:val="both"/>
        <w:spacing w:before="0" w:after="0" w:line="322" w:lineRule="exact"/>
        <w:ind w:left="100" w:right="20" w:firstLine="72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22" w:lineRule="exact"/>
        <w:ind w:left="10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22" w:lineRule="exact"/>
        <w:ind w:left="10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100" w:right="20" w:firstLine="72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both"/>
        <w:spacing w:before="0" w:after="0" w:line="322" w:lineRule="exact"/>
        <w:ind w:left="100" w:right="0" w:firstLine="720"/>
      </w:pPr>
      <w:r>
        <w:rPr>
          <w:lang w:val="ru-RU" w:eastAsia="ru-RU" w:bidi="ru-RU"/>
          <w:w w:val="100"/>
          <w:spacing w:val="0"/>
          <w:color w:val="000000"/>
          <w:position w:val="0"/>
        </w:rPr>
        <w:t>Специалиста 1 разряда отдела обжалования государственных закупок</w:t>
      </w:r>
    </w:p>
    <w:p>
      <w:pPr>
        <w:pStyle w:val="Style5"/>
        <w:tabs>
          <w:tab w:leader="none" w:pos="677" w:val="left"/>
        </w:tabs>
        <w:widowControl w:val="0"/>
        <w:keepNext w:val="0"/>
        <w:keepLines w:val="0"/>
        <w:shd w:val="clear" w:color="auto" w:fill="auto"/>
        <w:bidi w:val="0"/>
        <w:jc w:val="both"/>
        <w:spacing w:before="0" w:after="0" w:line="322" w:lineRule="exact"/>
        <w:ind w:left="100" w:right="0" w:firstLine="0"/>
      </w:pPr>
      <w:r>
        <w:rPr>
          <w:lang w:val="ru-RU" w:eastAsia="ru-RU" w:bidi="ru-RU"/>
          <w:w w:val="100"/>
          <w:spacing w:val="0"/>
          <w:color w:val="000000"/>
          <w:position w:val="0"/>
        </w:rPr>
        <w:t>Э.З.</w:t>
        <w:tab/>
        <w:t>Гугава,</w:t>
      </w:r>
    </w:p>
    <w:p>
      <w:pPr>
        <w:pStyle w:val="Style3"/>
        <w:framePr w:w="1685" w:h="394" w:wrap="around" w:vAnchor="text" w:hAnchor="margin" w:x="452" w:y="5209"/>
        <w:widowControl w:val="0"/>
        <w:keepNext w:val="0"/>
        <w:keepLines w:val="0"/>
        <w:shd w:val="clear" w:color="auto" w:fill="auto"/>
        <w:bidi w:val="0"/>
        <w:jc w:val="left"/>
        <w:spacing w:before="0" w:after="0" w:line="240" w:lineRule="auto"/>
        <w:ind w:left="0" w:right="0" w:firstLine="0"/>
      </w:pPr>
      <w:r>
        <w:rPr>
          <w:w w:val="100"/>
          <w:spacing w:val="0"/>
          <w:color w:val="000000"/>
          <w:position w:val="0"/>
        </w:rPr>
        <w:t>001263621607</w:t>
      </w:r>
    </w:p>
    <w:p>
      <w:pPr>
        <w:pStyle w:val="Style5"/>
        <w:widowControl w:val="0"/>
        <w:keepNext w:val="0"/>
        <w:keepLines w:val="0"/>
        <w:shd w:val="clear" w:color="auto" w:fill="auto"/>
        <w:bidi w:val="0"/>
        <w:jc w:val="both"/>
        <w:spacing w:before="0" w:after="0" w:line="322" w:lineRule="exact"/>
        <w:ind w:left="10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ГБУ ПНИ № 33, ООО «Астрон», рассмотрев жалобу ООО «Астрон» (далее — Заявитель) на действия ГБУ ПНИ № 33 (далее — Заказчик) при проведении электронного аукциона на право заключения государственного контракта на поставку моющих средств для дозирующей системы для прачечной на 2021-2022 год (Закупка № 0373200157321000034)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w:t>
      </w:r>
      <w:r>
        <w:rPr>
          <w:rStyle w:val="CharStyle9"/>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left"/>
        <w:spacing w:before="0" w:after="303" w:line="260" w:lineRule="exact"/>
        <w:ind w:left="43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По результатам рассмотрения жалобы, рассмотрев представленные документы и сведения, запрашиваемые письмом Московского УФАС России (от 21.10.2021 № ЕИ/64780/21),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Заявитель обжалует действия Заказчика, выразившиеся в утверждении аукционной документации в нарушение Закона о контрактной системе, а также нарушен порядок предоставления разъяснений положений документации.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ч.3 ст.65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основании ч.4 ст.65 Закона о контрактной системе в течение двух дней с даты поступления от оператора электронной площадки указанного в ч.3 ст.65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ч.6 ст.65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не превышает три миллиона рублей, не менее чем семь дней.</w:t>
      </w:r>
    </w:p>
    <w:p>
      <w:pPr>
        <w:pStyle w:val="Style5"/>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Так, участниками закупки направлены запросы о даче разъяснений положений аукционной документации со следующим предметом:</w:t>
      </w:r>
    </w:p>
    <w:p>
      <w:pPr>
        <w:pStyle w:val="Style5"/>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«В обосновании характеристик:</w:t>
      </w:r>
    </w:p>
    <w:p>
      <w:pPr>
        <w:pStyle w:val="Style5"/>
        <w:numPr>
          <w:ilvl w:val="0"/>
          <w:numId w:val="1"/>
        </w:numPr>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 xml:space="preserve"> Указано требование "Создание Поставщиком программ стирок, программирование оборудования, ведение отчетности.". О какой отчётности идёт речь? По какой форме? В какой форме? В какие сроки предоставляется? Кому адресована отчётность?</w:t>
      </w:r>
    </w:p>
    <w:p>
      <w:pPr>
        <w:pStyle w:val="Style5"/>
        <w:numPr>
          <w:ilvl w:val="0"/>
          <w:numId w:val="1"/>
        </w:numPr>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 xml:space="preserve"> Указано требование "Данный технологический процесс должен соответствовать: МУ 3.5.736-99 технология обработки белья в медицинских учреждениях». В соответствии с пунктом Методических указаний 1.1 «Настоящие указания предназначены для медицинского и инженерно-технического персонала лечебно-профилактических учреждений, в т.ч. инфекционного профиля, занимающегося подготовкой и обработкой белья в больничных прачечных, а также работников госсанэпидслужбы.». По требованиям Заказчика Поставщик только подключает, настраивает и обслуживает дозирующее оборудование, процесс стирки контролируется работниками Заказчика, являющимися медицинским и инженерно</w:t>
        <w:softHyphen/>
        <w:t>техническим персоналом. Требования МУ не распространяются на работников Поставщика, так как они не являются медицинским персоналом и инженерно</w:t>
        <w:softHyphen/>
        <w:t>техническим персоналом лечебно-профилактических учреждений. Считаем данное требование избыточным и ограничивающим конкуренцию.</w:t>
      </w:r>
    </w:p>
    <w:p>
      <w:pPr>
        <w:pStyle w:val="Style5"/>
        <w:numPr>
          <w:ilvl w:val="0"/>
          <w:numId w:val="1"/>
        </w:numPr>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 xml:space="preserve"> Требования «"Данный технологический процесс должен соответствовать: •</w:t>
      </w:r>
    </w:p>
    <w:p>
      <w:pPr>
        <w:pStyle w:val="Style5"/>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Санитарные правила 2.1.3.2630-10 «Санитарно-эпидемиологические</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требования к организациям, осуществляющим медицинскую деятельность» и •</w:t>
      </w:r>
    </w:p>
    <w:p>
      <w:pPr>
        <w:pStyle w:val="Style5"/>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Санитарные правила 2.1.2646-10 «Санитарно-эпидемиологические требования к устройству, оборудованию, содержанию и режиму работы прачечных»» не могут быть применены, так как документы утратили силу.</w:t>
      </w:r>
    </w:p>
    <w:p>
      <w:pPr>
        <w:pStyle w:val="Style5"/>
        <w:numPr>
          <w:ilvl w:val="0"/>
          <w:numId w:val="1"/>
        </w:numPr>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 xml:space="preserve"> Требование «"Данный технологический процесс должен соответствовать: •</w:t>
      </w:r>
    </w:p>
    <w:p>
      <w:pPr>
        <w:pStyle w:val="Style5"/>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Инструкция по технологии обработки белья медицинских учреждений на</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фабриках-прачечных» №121-6/125-5 от 07.04.1986 г.» считаем избыточным и ограничивающим конкуренцию, так как в составе документации отсутствует указанный документ. Так же обращаю внимание Заказчика, что документ действует для работников Заказчика. Считаем указание данного требования избыточным, ограничивающим конкуренцию.</w:t>
      </w:r>
    </w:p>
    <w:p>
      <w:pPr>
        <w:pStyle w:val="Style5"/>
        <w:numPr>
          <w:ilvl w:val="0"/>
          <w:numId w:val="1"/>
        </w:numPr>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 xml:space="preserve"> Указано требование «2. Поставщик должен иметь положительный акт тестовых стирок, образцов, на соответствие качества предоставляемого продукта и качества стирки, согласно действующим нормам расхода заказчика, по которым сделан расчет общей потребностей данных мою</w:t>
      </w:r>
      <w:r>
        <w:rPr>
          <w:rStyle w:val="CharStyle9"/>
        </w:rPr>
        <w:t>щи</w:t>
      </w:r>
      <w:r>
        <w:rPr>
          <w:lang w:val="ru-RU" w:eastAsia="ru-RU" w:bidi="ru-RU"/>
          <w:w w:val="100"/>
          <w:spacing w:val="0"/>
          <w:color w:val="000000"/>
          <w:position w:val="0"/>
        </w:rPr>
        <w:t>х средств», при этом в требованиях к товару не указаны дозировки средств. В связи с чем у Участников нет возможности удостовериться в соответствии товара нормам расхода Заказчика, по которым сделан расчёт. Просьба внести изменения в документацию.</w:t>
      </w:r>
    </w:p>
    <w:p>
      <w:pPr>
        <w:pStyle w:val="Style5"/>
        <w:numPr>
          <w:ilvl w:val="0"/>
          <w:numId w:val="1"/>
        </w:numPr>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 xml:space="preserve"> В соответствии с п.3 Письма Федеральной Антимонопольной Службы №ИА/44536/16 от 01.07.2016 г. установление Заказчиком в документации</w:t>
      </w:r>
    </w:p>
    <w:p>
      <w:pPr>
        <w:pStyle w:val="Style5"/>
        <w:tabs>
          <w:tab w:leader="none" w:pos="6116" w:val="right"/>
          <w:tab w:leader="none" w:pos="6331"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требований к подробному описанию в заявке химического состава, компонентов товара, показателей технологии производства, испытания товара, показатели, значения которых становятся известными при испытании определенной партии товара после его производства, имеет признаки ограничения доступа к участию в закупке.</w:t>
        <w:tab/>
        <w:t>Считаем, что Заказчик умышленно</w:t>
        <w:tab/>
        <w:t>указал следующие показатели</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химического состава с указанием диапазона значений:</w:t>
      </w:r>
    </w:p>
    <w:p>
      <w:pPr>
        <w:pStyle w:val="Style5"/>
        <w:numPr>
          <w:ilvl w:val="0"/>
          <w:numId w:val="3"/>
        </w:numPr>
        <w:tabs>
          <w:tab w:leader="none" w:pos="10145" w:val="right"/>
        </w:tabs>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Позиция 1: Неионогенные поверхностно-активные вещества более 15%</w:t>
      </w:r>
    </w:p>
    <w:p>
      <w:pPr>
        <w:pStyle w:val="Style5"/>
        <w:numPr>
          <w:ilvl w:val="0"/>
          <w:numId w:val="3"/>
        </w:numPr>
        <w:tabs>
          <w:tab w:leader="none" w:pos="10145" w:val="right"/>
        </w:tabs>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Позиция 2: гидроксид натрия не менее 30,00%., Гидроксид калия от 20% до 30 %,</w:t>
      </w:r>
    </w:p>
    <w:p>
      <w:pPr>
        <w:pStyle w:val="Style5"/>
        <w:numPr>
          <w:ilvl w:val="0"/>
          <w:numId w:val="3"/>
        </w:numPr>
        <w:tabs>
          <w:tab w:leader="none" w:pos="10145" w:val="right"/>
        </w:tabs>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Позиция 3: Этоксилированный лаурилсульфат натрия более 20 %, НПАВ - не менее 30%</w:t>
      </w:r>
    </w:p>
    <w:p>
      <w:pPr>
        <w:pStyle w:val="Style5"/>
        <w:numPr>
          <w:ilvl w:val="0"/>
          <w:numId w:val="3"/>
        </w:numPr>
        <w:tabs>
          <w:tab w:leader="none" w:pos="6116" w:val="right"/>
          <w:tab w:leader="none" w:pos="6328" w:val="left"/>
        </w:tabs>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Позиция 4: надуксусная кислота &gt;5</w:t>
        <w:tab/>
        <w:t>%, более 35 % кислородных</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отбеливателей,</w:t>
      </w:r>
    </w:p>
    <w:p>
      <w:pPr>
        <w:pStyle w:val="Style5"/>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Показатели, значения которых становятся известными при испытании определённой партии товара после его производства:</w:t>
      </w:r>
    </w:p>
    <w:p>
      <w:pPr>
        <w:pStyle w:val="Style5"/>
        <w:numPr>
          <w:ilvl w:val="0"/>
          <w:numId w:val="5"/>
        </w:numPr>
        <w:tabs>
          <w:tab w:leader="none" w:pos="10145" w:val="right"/>
        </w:tabs>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Позиция 1: Границы водородного показателя должны быть не менее 6-7 нейтральное</w:t>
      </w:r>
    </w:p>
    <w:p>
      <w:pPr>
        <w:pStyle w:val="Style5"/>
        <w:numPr>
          <w:ilvl w:val="0"/>
          <w:numId w:val="5"/>
        </w:numPr>
        <w:tabs>
          <w:tab w:leader="none" w:pos="6750" w:val="right"/>
        </w:tabs>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Позиция 2: рН- &gt;13, плотность 1340 гр/литр</w:t>
      </w:r>
    </w:p>
    <w:p>
      <w:pPr>
        <w:pStyle w:val="Style5"/>
        <w:numPr>
          <w:ilvl w:val="0"/>
          <w:numId w:val="5"/>
        </w:numPr>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 xml:space="preserve"> Позиция 3: Плотность не менее: 1050 г/л(+/-20),</w:t>
      </w:r>
    </w:p>
    <w:p>
      <w:pPr>
        <w:pStyle w:val="Style5"/>
        <w:numPr>
          <w:ilvl w:val="0"/>
          <w:numId w:val="5"/>
        </w:numPr>
        <w:tabs>
          <w:tab w:leader="none" w:pos="3227" w:val="left"/>
          <w:tab w:leader="none" w:pos="7610" w:val="left"/>
        </w:tabs>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 xml:space="preserve"> Позиция 4:</w:t>
        <w:tab/>
        <w:t>Значение pH должно быть :</w:t>
        <w:tab/>
        <w:t>сильнокислое &lt; 2,</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Растворимость: 100%</w:t>
      </w:r>
    </w:p>
    <w:p>
      <w:pPr>
        <w:pStyle w:val="Style5"/>
        <w:numPr>
          <w:ilvl w:val="0"/>
          <w:numId w:val="5"/>
        </w:numPr>
        <w:tabs>
          <w:tab w:leader="none" w:pos="6116" w:val="right"/>
        </w:tabs>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Позиция 5: Значение pH*: не более 2,0</w:t>
      </w:r>
    </w:p>
    <w:p>
      <w:pPr>
        <w:pStyle w:val="Style5"/>
        <w:numPr>
          <w:ilvl w:val="0"/>
          <w:numId w:val="5"/>
        </w:numPr>
        <w:tabs>
          <w:tab w:leader="none" w:pos="6116" w:val="right"/>
        </w:tabs>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 xml:space="preserve">Позиция 6: </w:t>
      </w:r>
      <w:r>
        <w:rPr>
          <w:lang w:val="en-US" w:eastAsia="en-US" w:bidi="en-US"/>
          <w:w w:val="100"/>
          <w:spacing w:val="0"/>
          <w:color w:val="000000"/>
          <w:position w:val="0"/>
        </w:rPr>
        <w:t xml:space="preserve">Ph </w:t>
      </w:r>
      <w:r>
        <w:rPr>
          <w:lang w:val="ru-RU" w:eastAsia="ru-RU" w:bidi="ru-RU"/>
          <w:w w:val="100"/>
          <w:spacing w:val="0"/>
          <w:color w:val="000000"/>
          <w:position w:val="0"/>
        </w:rPr>
        <w:t>средства должно быть не менее 2и не более 4.</w:t>
      </w:r>
    </w:p>
    <w:p>
      <w:pPr>
        <w:pStyle w:val="Style5"/>
        <w:tabs>
          <w:tab w:leader="none" w:pos="6116" w:val="right"/>
          <w:tab w:leader="none" w:pos="6323" w:val="left"/>
        </w:tabs>
        <w:widowControl w:val="0"/>
        <w:keepNext w:val="0"/>
        <w:keepLines w:val="0"/>
        <w:shd w:val="clear" w:color="auto" w:fill="auto"/>
        <w:bidi w:val="0"/>
        <w:jc w:val="both"/>
        <w:spacing w:before="0" w:after="0" w:line="322" w:lineRule="exact"/>
        <w:ind w:left="0" w:right="0" w:firstLine="760"/>
      </w:pPr>
      <w:r>
        <w:rPr>
          <w:lang w:val="ru-RU" w:eastAsia="ru-RU" w:bidi="ru-RU"/>
          <w:w w:val="100"/>
          <w:spacing w:val="0"/>
          <w:color w:val="000000"/>
          <w:position w:val="0"/>
        </w:rPr>
        <w:t>Для</w:t>
        <w:tab/>
        <w:t>соответствия товара потребностям</w:t>
        <w:tab/>
        <w:t>Заказчика он может указать</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компоненты состава без указания процентов в соответствии с этикетками средств, на которые опирается при составлении Технического задания.</w:t>
      </w:r>
    </w:p>
    <w:p>
      <w:pPr>
        <w:pStyle w:val="Style5"/>
        <w:numPr>
          <w:ilvl w:val="0"/>
          <w:numId w:val="1"/>
        </w:numPr>
        <w:tabs>
          <w:tab w:leader="none" w:pos="1167" w:val="left"/>
        </w:tabs>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Как следует читать символ «;» в описании Технического задания: как «И» или «ИЛИ»? Иными словами, требуется указать все перечисленные значения (И) или выбрать одно или несколько из указанных (ИЛИ)?».</w:t>
      </w:r>
    </w:p>
    <w:p>
      <w:pPr>
        <w:pStyle w:val="Style5"/>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В свою очередь 13.10.2021 Заказчиком в ответ на указанный запрос опубликованы разъяснения положений документации об электронном аукционе №РД1 со следующим текстом:</w:t>
      </w:r>
    </w:p>
    <w:p>
      <w:pPr>
        <w:pStyle w:val="Style5"/>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«В техническую документацию (в обоснование характеристик) будут внесены изменения».</w:t>
      </w:r>
    </w:p>
    <w:p>
      <w:pPr>
        <w:pStyle w:val="Style5"/>
        <w:tabs>
          <w:tab w:leader="none" w:pos="1018" w:val="left"/>
        </w:tabs>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Комиссия Управления отмечает, что данные Заказчиком разъяснения положений аукционной документации №РД1 от 13.10.2021 относительно поставленного вопроса не могут считаться надлежащим исполнением Заказчиком требования ч.4 ст.65 Закона о контрактной системе, что содержит признаки состава административного правонарушения, ответственность за которое предусмотрена ч.1.4</w:t>
        <w:tab/>
        <w:t>ст.7.30 Кодекса Российской Федерации об административных</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правонарушениях.</w:t>
      </w:r>
    </w:p>
    <w:p>
      <w:pPr>
        <w:pStyle w:val="Style5"/>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При этом Заявитель указывает, что после внесенных изменений в технической части аукционной документации по прежнему установлены неправомерные требования к товарам, так например по п.2 «Средство пятновыводящее для стирки (жидкость)»: «гидроксид натрия более 30,00%», «Гидроксид калия от 15% до 30 %», «Концентрация средства по препарату не более 3 мл на кг белья», поскольку требования, установленные Заказчиком к вышеуказанным товарам могут препятствовать заполнению заявки на участие в электронном аукционе, поскольку, по мнению Заявителя, конкретные значения установленных характеристик не предоставляются производителями данных товаров и могут стать известны потребителю только после проведения испытаний определенной партии товара.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основании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5"/>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w:t>
      </w:r>
    </w:p>
    <w:p>
      <w:pPr>
        <w:pStyle w:val="Style5"/>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условных обозначений и терминологии.</w:t>
      </w:r>
    </w:p>
    <w:p>
      <w:pPr>
        <w:pStyle w:val="Style5"/>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Комиссия Управления отмечает, что согласно позиции ФАС России, изложенной в письме от 01.07.2016 № ИА/44536/16 «Об установлении заказчиком требований к составу, инструкции по заполнению заявки на участие в закупке»,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основании вышеизложенного, Комиссия Управления приходит к выводу об обоснованности данных доводов жалобы, а также о нарушении Заказчиком п.1 ч.1,ч.2 ст.33 Закона о контрактной системе, что также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Кроме того Комиссия Управления отмечает, что согласно протоколу рассмотрения заявок на участие в электронном аукционе от 22.10.2021 №0373200157321000034-1 на участие в аукционе подано 7 заявок, что также свидетельствует о возможности формирования заявки на условиях аукционной документации, в том числе с учетом оспариваемых требований.</w:t>
      </w:r>
    </w:p>
    <w:p>
      <w:pPr>
        <w:pStyle w:val="Style5"/>
        <w:widowControl w:val="0"/>
        <w:keepNext w:val="0"/>
        <w:keepLines w:val="0"/>
        <w:shd w:val="clear" w:color="auto" w:fill="auto"/>
        <w:bidi w:val="0"/>
        <w:jc w:val="both"/>
        <w:spacing w:before="0" w:after="0" w:line="322" w:lineRule="exact"/>
        <w:ind w:left="20" w:right="20" w:firstLine="720"/>
        <w:sectPr>
          <w:footnotePr>
            <w:pos w:val="pageBottom"/>
            <w:numFmt w:val="decimal"/>
            <w:numRestart w:val="continuous"/>
          </w:footnotePr>
          <w:type w:val="continuous"/>
          <w:pgSz w:w="11906" w:h="16838"/>
          <w:pgMar w:top="1113" w:left="810" w:right="786" w:bottom="1031"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10"/>
        <w:widowControl w:val="0"/>
        <w:keepNext/>
        <w:keepLines/>
        <w:shd w:val="clear" w:color="auto" w:fill="auto"/>
        <w:bidi w:val="0"/>
        <w:jc w:val="left"/>
        <w:spacing w:before="0" w:after="352" w:line="260" w:lineRule="exact"/>
        <w:ind w:left="4520" w:right="0" w:firstLine="0"/>
      </w:pPr>
      <w:bookmarkStart w:id="1" w:name="bookmark1"/>
      <w:r>
        <w:rPr>
          <w:lang w:val="ru-RU" w:eastAsia="ru-RU" w:bidi="ru-RU"/>
          <w:w w:val="100"/>
          <w:spacing w:val="0"/>
          <w:color w:val="000000"/>
          <w:position w:val="0"/>
        </w:rPr>
        <w:t>Р Е Ш И Л А:</w:t>
      </w:r>
      <w:bookmarkEnd w:id="1"/>
    </w:p>
    <w:p>
      <w:pPr>
        <w:pStyle w:val="Style5"/>
        <w:numPr>
          <w:ilvl w:val="0"/>
          <w:numId w:val="9"/>
        </w:numPr>
        <w:widowControl w:val="0"/>
        <w:keepNext w:val="0"/>
        <w:keepLines w:val="0"/>
        <w:shd w:val="clear" w:color="auto" w:fill="auto"/>
        <w:bidi w:val="0"/>
        <w:jc w:val="both"/>
        <w:spacing w:before="0" w:after="0" w:line="260" w:lineRule="exact"/>
        <w:ind w:left="20" w:right="0" w:firstLine="720"/>
      </w:pPr>
      <w:r>
        <w:rPr>
          <w:lang w:val="ru-RU" w:eastAsia="ru-RU" w:bidi="ru-RU"/>
          <w:w w:val="100"/>
          <w:spacing w:val="0"/>
          <w:color w:val="000000"/>
          <w:position w:val="0"/>
        </w:rPr>
        <w:t xml:space="preserve"> Признать жалобу ООО «Астрон» на действия ГБУ ПНИ № 33 обоснованной.</w:t>
      </w:r>
    </w:p>
    <w:p>
      <w:pPr>
        <w:pStyle w:val="Style5"/>
        <w:numPr>
          <w:ilvl w:val="0"/>
          <w:numId w:val="9"/>
        </w:numPr>
        <w:widowControl w:val="0"/>
        <w:keepNext w:val="0"/>
        <w:keepLines w:val="0"/>
        <w:shd w:val="clear" w:color="auto" w:fill="auto"/>
        <w:bidi w:val="0"/>
        <w:jc w:val="both"/>
        <w:spacing w:before="0" w:after="0" w:line="326" w:lineRule="exact"/>
        <w:ind w:left="20" w:right="40" w:firstLine="720"/>
      </w:pPr>
      <w:r>
        <w:rPr>
          <w:lang w:val="ru-RU" w:eastAsia="ru-RU" w:bidi="ru-RU"/>
          <w:w w:val="100"/>
          <w:spacing w:val="0"/>
          <w:color w:val="000000"/>
          <w:position w:val="0"/>
        </w:rPr>
        <w:t xml:space="preserve"> Признать в действиях Заказчика нарушение п.1 ч.1 ст.33, ч.2 ст.33, ч.4 ст.65 Закона о контрактной системе.</w:t>
      </w:r>
    </w:p>
    <w:p>
      <w:pPr>
        <w:pStyle w:val="Style5"/>
        <w:numPr>
          <w:ilvl w:val="0"/>
          <w:numId w:val="9"/>
        </w:numPr>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9"/>
        </w:numPr>
        <w:widowControl w:val="0"/>
        <w:keepNext w:val="0"/>
        <w:keepLines w:val="0"/>
        <w:shd w:val="clear" w:color="auto" w:fill="auto"/>
        <w:bidi w:val="0"/>
        <w:jc w:val="both"/>
        <w:spacing w:before="0" w:after="296" w:line="317" w:lineRule="exact"/>
        <w:ind w:left="20" w:right="40" w:firstLine="720"/>
      </w:pPr>
      <w:r>
        <w:rPr>
          <w:lang w:val="ru-RU" w:eastAsia="ru-RU" w:bidi="ru-RU"/>
          <w:w w:val="100"/>
          <w:spacing w:val="0"/>
          <w:color w:val="000000"/>
          <w:position w:val="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43" w:line="322" w:lineRule="exact"/>
        <w:ind w:left="20" w:right="4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554"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С.И. Казарин</w:t>
      </w:r>
    </w:p>
    <w:p>
      <w:pPr>
        <w:pStyle w:val="Style5"/>
        <w:tabs>
          <w:tab w:leader="none" w:pos="8554"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В.А. Матвеев</w:t>
      </w:r>
    </w:p>
    <w:p>
      <w:pPr>
        <w:pStyle w:val="Style5"/>
        <w:tabs>
          <w:tab w:leader="none" w:pos="9522" w:val="left"/>
        </w:tabs>
        <w:widowControl w:val="0"/>
        <w:keepNext w:val="0"/>
        <w:keepLines w:val="0"/>
        <w:shd w:val="clear" w:color="auto" w:fill="auto"/>
        <w:bidi w:val="0"/>
        <w:jc w:val="both"/>
        <w:spacing w:before="0" w:after="7310" w:line="643" w:lineRule="exact"/>
        <w:ind w:left="8880" w:right="0" w:firstLine="0"/>
      </w:pPr>
      <w:r>
        <w:rPr>
          <w:lang w:val="ru-RU" w:eastAsia="ru-RU" w:bidi="ru-RU"/>
          <w:w w:val="100"/>
          <w:spacing w:val="0"/>
          <w:color w:val="000000"/>
          <w:position w:val="0"/>
        </w:rPr>
        <w:t>Э.З.</w:t>
        <w:tab/>
        <w:t>Гугава</w:t>
      </w:r>
    </w:p>
    <w:p>
      <w:pPr>
        <w:pStyle w:val="Style12"/>
        <w:widowControl w:val="0"/>
        <w:keepNext w:val="0"/>
        <w:keepLines w:val="0"/>
        <w:shd w:val="clear" w:color="auto" w:fill="auto"/>
        <w:bidi w:val="0"/>
        <w:jc w:val="left"/>
        <w:spacing w:before="0" w:after="0"/>
        <w:ind w:left="20" w:right="7060" w:firstLine="0"/>
      </w:pPr>
      <w:r>
        <w:rPr>
          <w:lang w:val="ru-RU" w:eastAsia="ru-RU" w:bidi="ru-RU"/>
          <w:w w:val="100"/>
          <w:spacing w:val="0"/>
          <w:color w:val="000000"/>
          <w:position w:val="0"/>
        </w:rPr>
        <w:t>Исп. Матвеев Владислав Александрович 8 (495) 784-75-05</w:t>
      </w:r>
    </w:p>
    <w:sectPr>
      <w:type w:val="continuous"/>
      <w:pgSz w:w="11906" w:h="16838"/>
      <w:pgMar w:top="1269" w:left="846" w:right="846" w:bottom="13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420" w:line="32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6960" w:line="206"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