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520" w:firstLine="0"/>
      </w:pPr>
      <w:r>
        <w:rPr>
          <w:lang w:val="ru-RU" w:eastAsia="ru-RU" w:bidi="ru-RU"/>
          <w:w w:val="100"/>
          <w:spacing w:val="0"/>
          <w:color w:val="000000"/>
          <w:position w:val="0"/>
        </w:rPr>
        <w:t>ГБУК Г. МОСКВЫ «ЦБС САО» ул. Клары Цеткин, д. 11/2, г. Москва, 127299,</w:t>
      </w:r>
    </w:p>
    <w:p>
      <w:pPr>
        <w:pStyle w:val="Style5"/>
        <w:widowControl w:val="0"/>
        <w:keepNext w:val="0"/>
        <w:keepLines w:val="0"/>
        <w:shd w:val="clear" w:color="auto" w:fill="auto"/>
        <w:bidi w:val="0"/>
        <w:jc w:val="left"/>
        <w:spacing w:before="0" w:after="240"/>
        <w:ind w:left="5340" w:right="0" w:firstLine="0"/>
      </w:pPr>
      <w:r>
        <w:fldChar w:fldCharType="begin"/>
      </w:r>
      <w:r>
        <w:rPr>
          <w:color w:val="000000"/>
        </w:rPr>
        <w:instrText> HYPERLINK "mailto:Bib63@bk.ru" </w:instrText>
      </w:r>
      <w:r>
        <w:fldChar w:fldCharType="separate"/>
      </w:r>
      <w:r>
        <w:rPr>
          <w:rStyle w:val="Hyperlink"/>
          <w:lang w:val="en-US" w:eastAsia="en-US" w:bidi="en-US"/>
          <w:w w:val="100"/>
          <w:spacing w:val="0"/>
          <w:position w:val="0"/>
        </w:rPr>
        <w:t>Bib63@bk.ru</w:t>
      </w:r>
      <w:r>
        <w:fldChar w:fldCharType="end"/>
      </w:r>
    </w:p>
    <w:p>
      <w:pPr>
        <w:pStyle w:val="Style5"/>
        <w:widowControl w:val="0"/>
        <w:keepNext w:val="0"/>
        <w:keepLines w:val="0"/>
        <w:shd w:val="clear" w:color="auto" w:fill="auto"/>
        <w:bidi w:val="0"/>
        <w:jc w:val="left"/>
        <w:spacing w:before="0" w:after="0"/>
        <w:ind w:left="5340" w:right="20" w:firstLine="0"/>
      </w:pPr>
      <w:r>
        <w:rPr>
          <w:lang w:val="ru-RU" w:eastAsia="ru-RU" w:bidi="ru-RU"/>
          <w:w w:val="100"/>
          <w:spacing w:val="0"/>
          <w:color w:val="000000"/>
          <w:position w:val="0"/>
        </w:rPr>
        <w:t>ГКУ «Технический центр Департамента культуры города Москвы бул. Цветной, д. 30, стр. 1, г. Москва, 127051</w:t>
      </w:r>
    </w:p>
    <w:p>
      <w:pPr>
        <w:pStyle w:val="Style5"/>
        <w:widowControl w:val="0"/>
        <w:keepNext w:val="0"/>
        <w:keepLines w:val="0"/>
        <w:shd w:val="clear" w:color="auto" w:fill="auto"/>
        <w:bidi w:val="0"/>
        <w:jc w:val="left"/>
        <w:spacing w:before="0" w:after="240"/>
        <w:ind w:left="5340" w:right="0" w:firstLine="0"/>
      </w:pP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«Медикал Сервис»</w:t>
      </w:r>
    </w:p>
    <w:p>
      <w:pPr>
        <w:pStyle w:val="Style5"/>
        <w:widowControl w:val="0"/>
        <w:keepNext w:val="0"/>
        <w:keepLines w:val="0"/>
        <w:shd w:val="clear" w:color="auto" w:fill="auto"/>
        <w:bidi w:val="0"/>
        <w:jc w:val="left"/>
        <w:spacing w:before="0" w:after="0"/>
        <w:ind w:left="5340" w:right="20" w:firstLine="0"/>
      </w:pPr>
      <w:r>
        <w:rPr>
          <w:lang w:val="ru-RU" w:eastAsia="ru-RU" w:bidi="ru-RU"/>
          <w:w w:val="100"/>
          <w:spacing w:val="0"/>
          <w:color w:val="000000"/>
          <w:position w:val="0"/>
        </w:rPr>
        <w:t>Дербенёвская наб., д. 7, стр. 2, этаж 3, пом. 1, комн. 35 (РМ29), г. Москва, 115114</w:t>
      </w:r>
    </w:p>
    <w:p>
      <w:pPr>
        <w:pStyle w:val="Style5"/>
        <w:widowControl w:val="0"/>
        <w:keepNext w:val="0"/>
        <w:keepLines w:val="0"/>
        <w:shd w:val="clear" w:color="auto" w:fill="auto"/>
        <w:bidi w:val="0"/>
        <w:jc w:val="left"/>
        <w:spacing w:before="0" w:after="844"/>
        <w:ind w:left="5340" w:right="0" w:firstLine="0"/>
      </w:pPr>
      <w:r>
        <w:fldChar w:fldCharType="begin"/>
      </w:r>
      <w:r>
        <w:rPr>
          <w:color w:val="000000"/>
        </w:rPr>
        <w:instrText> HYPERLINK "mailto:medikal.serviss@yandex.ru" </w:instrText>
      </w:r>
      <w:r>
        <w:fldChar w:fldCharType="separate"/>
      </w:r>
      <w:r>
        <w:rPr>
          <w:rStyle w:val="Hyperlink"/>
          <w:lang w:val="en-US" w:eastAsia="en-US" w:bidi="en-US"/>
          <w:w w:val="100"/>
          <w:spacing w:val="0"/>
          <w:position w:val="0"/>
        </w:rPr>
        <w:t>medikal.serviss@yandex.ru</w:t>
      </w:r>
      <w:r>
        <w:fldChar w:fldCharType="end"/>
      </w:r>
    </w:p>
    <w:p>
      <w:pPr>
        <w:pStyle w:val="Style7"/>
        <w:tabs>
          <w:tab w:leader="none" w:pos="10154"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077/06/106-19208/2021 о нарушении законодательства о контрактной системе 08.11.2021</w:t>
        <w:tab/>
        <w:t>Москва</w:t>
      </w:r>
    </w:p>
    <w:p>
      <w:pPr>
        <w:pStyle w:val="Style5"/>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17" w:lineRule="exact"/>
        <w:ind w:left="40" w:right="0" w:firstLine="64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Специалиста - 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17" w:lineRule="exact"/>
        <w:ind w:left="40" w:right="0" w:firstLine="64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40"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Н.А. Кутейникова,</w:t>
      </w:r>
    </w:p>
    <w:p>
      <w:pPr>
        <w:pStyle w:val="Style5"/>
        <w:tabs>
          <w:tab w:leader="none" w:pos="626" w:val="left"/>
        </w:tabs>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17"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при участии представителей ООО «Медикал Сервис», ГБУ Централизованная библиотечная система СВАО, ГКУ «Технический центр Департамента культуры города Москвы,</w:t>
      </w:r>
    </w:p>
    <w:p>
      <w:pPr>
        <w:pStyle w:val="Style3"/>
        <w:framePr w:w="1685" w:h="394" w:wrap="around" w:vAnchor="text" w:hAnchor="margin" w:x="375" w:y="1191"/>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001028910572</w:t>
      </w:r>
    </w:p>
    <w:p>
      <w:pPr>
        <w:pStyle w:val="Style5"/>
        <w:widowControl w:val="0"/>
        <w:keepNext w:val="0"/>
        <w:keepLines w:val="0"/>
        <w:shd w:val="clear" w:color="auto" w:fill="auto"/>
        <w:bidi w:val="0"/>
        <w:jc w:val="both"/>
        <w:spacing w:before="0" w:after="0" w:line="317" w:lineRule="exact"/>
        <w:ind w:left="40" w:right="20" w:firstLine="640"/>
      </w:pPr>
      <w:r>
        <w:rPr>
          <w:lang w:val="ru-RU" w:eastAsia="ru-RU" w:bidi="ru-RU"/>
          <w:w w:val="100"/>
          <w:spacing w:val="0"/>
          <w:color w:val="000000"/>
          <w:position w:val="0"/>
        </w:rPr>
        <w:t>рассмотрев жалобу ООО «Медикал Сервис» (далее — Заявитель) на действия ГБУК Г. МОСКВЫ «ЦБС САО» (далее — Заказчик) при проведении электронного аукциона на право заключения государственного контракта на изготовление и</w:t>
      </w:r>
      <w:r>
        <w:br w:type="page"/>
      </w:r>
    </w:p>
    <w:p>
      <w:pPr>
        <w:pStyle w:val="Style5"/>
        <w:widowControl w:val="0"/>
        <w:keepNext w:val="0"/>
        <w:keepLines w:val="0"/>
        <w:shd w:val="clear" w:color="auto" w:fill="auto"/>
        <w:bidi w:val="0"/>
        <w:jc w:val="both"/>
        <w:spacing w:before="0" w:after="300"/>
        <w:ind w:left="20" w:right="20" w:firstLine="0"/>
      </w:pPr>
      <w:r>
        <w:rPr>
          <w:lang w:val="ru-RU" w:eastAsia="ru-RU" w:bidi="ru-RU"/>
          <w:w w:val="100"/>
          <w:spacing w:val="0"/>
          <w:color w:val="000000"/>
          <w:position w:val="0"/>
        </w:rPr>
        <w:t>поставку мебели для нужд ГБУК г. Москвы «ЦБС САО», Библиотека № 25 им. Вс. Иванова (Закупка № 0373200138221000724)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№ЕИ/65698/21 от 26.10.2021.</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На основании п.1,2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tabs>
          <w:tab w:leader="none" w:pos="1173" w:val="left"/>
        </w:tabs>
        <w:widowControl w:val="0"/>
        <w:keepNext w:val="0"/>
        <w:keepLines w:val="0"/>
        <w:shd w:val="clear" w:color="auto" w:fill="auto"/>
        <w:bidi w:val="0"/>
        <w:jc w:val="both"/>
        <w:spacing w:before="0" w:after="0"/>
        <w:ind w:left="20" w:right="20" w:firstLine="7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numPr>
          <w:ilvl w:val="0"/>
          <w:numId w:val="1"/>
        </w:numPr>
        <w:tabs>
          <w:tab w:leader="none" w:pos="1153" w:val="left"/>
        </w:tabs>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numPr>
          <w:ilvl w:val="0"/>
          <w:numId w:val="3"/>
        </w:numPr>
        <w:tabs>
          <w:tab w:leader="none" w:pos="1128" w:val="left"/>
        </w:tabs>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 xml:space="preserve">В составе жалобы Заявитель указывает на установление требований к товарам с использованием словосочетаний, не описанных в Инструкции, так например, по п. Шкаф хозяйственный металлический: «Высота полки: </w:t>
      </w:r>
      <w:r>
        <w:rPr>
          <w:rStyle w:val="CharStyle11"/>
        </w:rPr>
        <w:t xml:space="preserve">Больше или равно </w:t>
      </w:r>
      <w:r>
        <w:rPr>
          <w:lang w:val="ru-RU" w:eastAsia="ru-RU" w:bidi="ru-RU"/>
          <w:w w:val="100"/>
          <w:spacing w:val="0"/>
          <w:color w:val="000000"/>
          <w:position w:val="0"/>
        </w:rPr>
        <w:t>2250 мм».</w:t>
      </w:r>
    </w:p>
    <w:p>
      <w:pPr>
        <w:pStyle w:val="Style5"/>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Вместе с тем, Комиссия Управления отмечает, что установленное Заказчиком требование напрямую указывают какое именно конкретное значение необходимо указать участникам закупки, а именно: представить значение либо более 2250 мм, либо равное 2250 мм. При этом в случае каких-либо неясностей в чтении установленных требований участники закупки, в том числе Заявитель, вправе обратится к Заказчику с запросом на разъяснение положений аукционной документации, вместе с тем как установлено Комиссией Управления Заявитель не обращался с подобным запросом.</w:t>
      </w:r>
    </w:p>
    <w:p>
      <w:pPr>
        <w:pStyle w:val="Style5"/>
        <w:widowControl w:val="0"/>
        <w:keepNext w:val="0"/>
        <w:keepLines w:val="0"/>
        <w:shd w:val="clear" w:color="auto" w:fill="auto"/>
        <w:bidi w:val="0"/>
        <w:jc w:val="both"/>
        <w:spacing w:before="0" w:after="0" w:line="317" w:lineRule="exact"/>
        <w:ind w:left="0" w:right="20" w:firstLine="740"/>
      </w:pPr>
      <w:r>
        <w:rPr>
          <w:lang w:val="ru-RU" w:eastAsia="ru-RU" w:bidi="ru-RU"/>
          <w:w w:val="100"/>
          <w:spacing w:val="0"/>
          <w:color w:val="000000"/>
          <w:position w:val="0"/>
        </w:rPr>
        <w:t>При этом 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заседание Комиссии Управления Заявителем не представлено документов и сведений, свидетельствующих что установленные требования препятствуют оформлению и подаче заявки на участие в аукционе, ввиду чего у Комиссии Управления отсутствуют правовые основания для</w:t>
      </w:r>
    </w:p>
    <w:p>
      <w:pPr>
        <w:pStyle w:val="Style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На основании вышеизложенного, Комиссия Управления приходит к выводу, что указанные доводы жалобы Заявителя не нашли своего подтверждения и являются необоснованными.</w:t>
      </w:r>
    </w:p>
    <w:p>
      <w:pPr>
        <w:pStyle w:val="Style5"/>
        <w:numPr>
          <w:ilvl w:val="0"/>
          <w:numId w:val="3"/>
        </w:numPr>
        <w:tabs>
          <w:tab w:leader="none" w:pos="1202" w:val="left"/>
        </w:tabs>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доводам жалобы Заказчиком установлены противоречивые требования, вводящие участников закупки в заблуждение.</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Так, Заявитель указывает, что, например, по п. «Шкаф деревянный для документов» установлены требования «Высота ножек/опор: &gt; 95 &lt; 110 мм»; «Требования к товару: Наличие ножек/регулируемых по высоте опор; Наличие ручек; Наличие подпятников; Наличие регулируемых по высоте полок; Наличие замка; Наличие независимых отделений».</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Согласно доводам жалобы величина регулировки представляет собой диапазонное значение, в то время как символы «&gt;» и «&lt;» указывают на необходимость указания конкретного значения.</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Также по позиции п. «Шкаф хозяйственный металлический» установлены требования «Глубина: &gt;= 600 мм»; «Глубина полки: &gt;= 600 мм», при этом Заявитель считает, что шкаф по своей конструкции является закрытым с задней стороны стенкой, глубина шкафа обязательно должна быть больше глубины полки, вместе с тем требования сформированы таким образом, что допускают представление равных значений как глубины шкафа, так и глубины полки, что будет указывать на несуществующий товар.</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Комиссия Управления отмечает, что исходя из требований инструкции участники закупки представляют конкретные значения из установленного Заказчиком диапазона.</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Кроме того исходя из положений ч. 2 ст. 33 Закона о контрактной системе Заказчик наделен правом устанавливать максимальные и (или) минимальные значения показателей, а также значения показателей, которые не могут изменяться. Реализуя свою потребность, Заказчик установил минимальные значения глубины шкафа хозяйственного металлического и глубины полки шкафа хозяйственного металлического, что не противоречит ч. 2 ст. 33 Закона о контрактной системе. При этом, предполагается, что участники закупки предлагают товары с реально существующими значениями, что априори не допускает предоставление противоречивых сведений о предлагаемых товарах.</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Таким образом, Комиссия Управления приходит к выводу о необоснованности данных доводов жалобы.</w:t>
      </w:r>
    </w:p>
    <w:p>
      <w:pPr>
        <w:pStyle w:val="Style5"/>
        <w:numPr>
          <w:ilvl w:val="0"/>
          <w:numId w:val="3"/>
        </w:numPr>
        <w:tabs>
          <w:tab w:leader="none" w:pos="1202" w:val="left"/>
        </w:tabs>
        <w:widowControl w:val="0"/>
        <w:keepNext w:val="0"/>
        <w:keepLines w:val="0"/>
        <w:shd w:val="clear" w:color="auto" w:fill="auto"/>
        <w:bidi w:val="0"/>
        <w:jc w:val="both"/>
        <w:spacing w:before="0" w:after="0"/>
        <w:ind w:left="0" w:right="20" w:firstLine="880"/>
      </w:pPr>
      <w:r>
        <w:rPr>
          <w:lang w:val="ru-RU" w:eastAsia="ru-RU" w:bidi="ru-RU"/>
          <w:w w:val="100"/>
          <w:spacing w:val="0"/>
          <w:color w:val="000000"/>
          <w:position w:val="0"/>
        </w:rPr>
        <w:t>Заявитель также указывает, что в составе аукционной документации имеется два разных документа, содержащих требования к товарам, при этом п. 18.1 информационной карты не содержит указание на необходимость представления конкретных значений поставляемых товаров в соответствии с Приложением №1 и Приложением №3 к Техническому заданию.</w:t>
      </w:r>
    </w:p>
    <w:p>
      <w:pPr>
        <w:pStyle w:val="Style5"/>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Требования к одному и тому же товару указаны в обоих вышеуказанных приложениях, что затрудняет формирование заявки, поскольку при подготовке заявки участник закупки должен сопоставлять требования разных приложений друг с другом. Одновременно с этим указанные приложения содержат различные наименования товаров, что не позволяет соотнести установленные требования с</w:t>
      </w:r>
    </w:p>
    <w:p>
      <w:pPr>
        <w:pStyle w:val="Style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конкретным товаром.</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Комиссия Управления отмечает, что в составе аукционной документации Заказчиком размещены Приложение №1, по которому с учетом размещенной в составе документации Инструкции участники закупки представляют конкретные значения поставляемых товаров, Приложение №3, в котором Заказчиком отображены требования, на которые участники закупки выражают исключительно согласие.</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Комиссия Управления отмечает, что все указанные в техническом задании товары отмечены в расчете начальной (максимальной) цены контракта, при этом требования к этим товарам содержаться в техническом задании.</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что указанные доводы жалобы Заявителя не нашли своего подтверждения и являются необоснованными.</w:t>
      </w:r>
    </w:p>
    <w:p>
      <w:pPr>
        <w:pStyle w:val="Style5"/>
        <w:numPr>
          <w:ilvl w:val="0"/>
          <w:numId w:val="3"/>
        </w:numPr>
        <w:tabs>
          <w:tab w:leader="none" w:pos="1147" w:val="left"/>
        </w:tabs>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доводам жалобы Заказчиком установлены противоречивые, избыточные требования, вводящие участников закупки в заблуждение.</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Так, Заявитель указывает, что, например, по товару п. «Стеллаж архивный, каркас из древесины (древесных материалов)» установлены требования:</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«Вид сопутствующих услуг: Сборка поставляемого товара в помещениях заказчика; Расстановка поставляемого товара в помещениях заказчика; Погрузочно</w:t>
        <w:softHyphen/>
        <w:t>разгрузочные работы, включая подъем поставляемого товара на этаж; Согласование плана расстановки поставляемого товара в помещениях заказчика; Согласование эскиза поставляемого товара».</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Так исходя из положений Инструкции в случае, если значения или диапазоны значений параметра указаны одновременно с использованием символов «точка с запятой», «запятая», участнику закупки необходимо представить в заявке значения или диапазоны значений, разделенных символом «точка с запятой».</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тоже время исходя из положения п. 2.18 Технического задания «Поставщиком в соответствии с пунктом 2.17 настоящего Технического задания оказываются следующие виды сопутствующих услуг, не подразумевающие выбор:</w:t>
      </w:r>
    </w:p>
    <w:p>
      <w:pPr>
        <w:pStyle w:val="Style12"/>
        <w:widowControl w:val="0"/>
        <w:keepNext w:val="0"/>
        <w:keepLines w:val="0"/>
        <w:shd w:val="clear" w:color="auto" w:fill="auto"/>
        <w:bidi w:val="0"/>
        <w:spacing w:before="0" w:after="0"/>
        <w:ind w:left="0" w:right="0"/>
      </w:pPr>
      <w:r>
        <w:rPr>
          <w:lang w:val="ru-RU" w:eastAsia="ru-RU" w:bidi="ru-RU"/>
          <w:w w:val="100"/>
          <w:spacing w:val="0"/>
          <w:color w:val="000000"/>
          <w:position w:val="0"/>
        </w:rPr>
        <w:t>согласование эскиза поставляемого Товара;</w:t>
      </w:r>
    </w:p>
    <w:p>
      <w:pPr>
        <w:pStyle w:val="Style12"/>
        <w:widowControl w:val="0"/>
        <w:keepNext w:val="0"/>
        <w:keepLines w:val="0"/>
        <w:shd w:val="clear" w:color="auto" w:fill="auto"/>
        <w:bidi w:val="0"/>
        <w:spacing w:before="0" w:after="0"/>
        <w:ind w:left="0" w:right="20"/>
      </w:pPr>
      <w:r>
        <w:rPr>
          <w:lang w:val="ru-RU" w:eastAsia="ru-RU" w:bidi="ru-RU"/>
          <w:w w:val="100"/>
          <w:spacing w:val="0"/>
          <w:color w:val="000000"/>
          <w:position w:val="0"/>
        </w:rPr>
        <w:t>согласование плана расстановки поставляемого Товара в помещениях Заказчика;</w:t>
      </w:r>
    </w:p>
    <w:p>
      <w:pPr>
        <w:pStyle w:val="Style12"/>
        <w:widowControl w:val="0"/>
        <w:keepNext w:val="0"/>
        <w:keepLines w:val="0"/>
        <w:shd w:val="clear" w:color="auto" w:fill="auto"/>
        <w:bidi w:val="0"/>
        <w:spacing w:before="0" w:after="0"/>
        <w:ind w:left="0" w:right="20"/>
      </w:pPr>
      <w:r>
        <w:rPr>
          <w:lang w:val="ru-RU" w:eastAsia="ru-RU" w:bidi="ru-RU"/>
          <w:w w:val="100"/>
          <w:spacing w:val="0"/>
          <w:color w:val="000000"/>
          <w:position w:val="0"/>
        </w:rPr>
        <w:t>погрузочно-разгрузочные работы, включая подъем поставляемого Товара на этаж;</w:t>
      </w:r>
    </w:p>
    <w:p>
      <w:pPr>
        <w:pStyle w:val="Style12"/>
        <w:widowControl w:val="0"/>
        <w:keepNext w:val="0"/>
        <w:keepLines w:val="0"/>
        <w:shd w:val="clear" w:color="auto" w:fill="auto"/>
        <w:bidi w:val="0"/>
        <w:spacing w:before="0" w:after="0"/>
        <w:ind w:left="0" w:right="0"/>
      </w:pPr>
      <w:r>
        <w:rPr>
          <w:lang w:val="ru-RU" w:eastAsia="ru-RU" w:bidi="ru-RU"/>
          <w:w w:val="100"/>
          <w:spacing w:val="0"/>
          <w:color w:val="000000"/>
          <w:position w:val="0"/>
        </w:rPr>
        <w:t>сборка поставляемого Товара в помещениях Заказчика;</w:t>
      </w:r>
    </w:p>
    <w:p>
      <w:pPr>
        <w:pStyle w:val="Style12"/>
        <w:widowControl w:val="0"/>
        <w:keepNext w:val="0"/>
        <w:keepLines w:val="0"/>
        <w:shd w:val="clear" w:color="auto" w:fill="auto"/>
        <w:bidi w:val="0"/>
        <w:spacing w:before="0" w:after="0"/>
        <w:ind w:left="0" w:right="0"/>
      </w:pPr>
      <w:r>
        <w:rPr>
          <w:lang w:val="ru-RU" w:eastAsia="ru-RU" w:bidi="ru-RU"/>
          <w:w w:val="100"/>
          <w:spacing w:val="0"/>
          <w:color w:val="000000"/>
          <w:position w:val="0"/>
        </w:rPr>
        <w:t>расстановка поставляемого Товара в помещениях Заказчика</w:t>
      </w:r>
      <w:r>
        <w:rPr>
          <w:rStyle w:val="CharStyle14"/>
          <w:i w:val="0"/>
          <w:iCs w:val="0"/>
        </w:rPr>
        <w:t>».</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Также согласно доводам жалобы по п. «Шкаф деревянный для документов» установлены требования «Расстояние между полками: Больше или равно 360 мм»; «Высота полки: Больше или равно 360 мм»; «Шаг размещения полок по высоте: Больше или равно 360 мм», однако высота полки, расстояние между полками, шаг размещения полок по высоте по сути дублируют друг друга, поскольку из того, какой у шкафа возможен диапазон регулировки шага полок следует и то, какой будет диапазон возможного расстояния между полками.</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аукционная документация допускает предоставление трех различных значений по данным параметрам.</w:t>
      </w:r>
    </w:p>
    <w:p>
      <w:pPr>
        <w:pStyle w:val="Style5"/>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На заседании Комиссии Управления представитель Заказчика затруднился</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пояснить, в чем отличие данных параметров.</w:t>
      </w:r>
    </w:p>
    <w:p>
      <w:pPr>
        <w:pStyle w:val="Style5"/>
        <w:tabs>
          <w:tab w:leader="none" w:pos="3692"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Комиссия Управления приходит к выводу об обоснованности указанных доводов жалобы и о нарушении Заказчиком положений п.1 ч.1 ст.33 Закона о контрактной системе при формировании аукционной документации, что свидетельствует о наличии признаков состава административного правонарушения, предусмотренного ч.4.2</w:t>
        <w:tab/>
        <w:t>ст.7.30 Кодекса Российской Федерации об</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административных правонарушениях.</w:t>
      </w:r>
    </w:p>
    <w:p>
      <w:pPr>
        <w:pStyle w:val="Style5"/>
        <w:numPr>
          <w:ilvl w:val="0"/>
          <w:numId w:val="3"/>
        </w:numPr>
        <w:tabs>
          <w:tab w:leader="none" w:pos="1172"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доводам жалобы Заказчиком сформировано неправомерное описание объекта закупки с использованием дополнительных характеристик, не предусмотренных КТРУ.</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 14 ч. 3 ст.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Постановлением Правительства Российской Федерации от 08.02.2017 № 145 (далее — постановление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соответствии с пп. «г» п.10 Правил использования КТРУ в поз</w:t>
      </w:r>
      <w:r>
        <w:rPr>
          <w:rStyle w:val="CharStyle15"/>
        </w:rPr>
        <w:t>ици</w:t>
      </w:r>
      <w:r>
        <w:rPr>
          <w:lang w:val="ru-RU" w:eastAsia="ru-RU" w:bidi="ru-RU"/>
          <w:w w:val="100"/>
          <w:spacing w:val="0"/>
          <w:color w:val="000000"/>
          <w:position w:val="0"/>
        </w:rPr>
        <w:t>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силу п.5 Правил использования КТРУ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соответствии с п.6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Так, Заказчиком, например, при описании товара п. «Стол для переговоров», относящегося к коду КТРУ 31.01.12.110-00000003 установлены характеристики не включенные в данную позицию, так например:</w:t>
      </w:r>
    </w:p>
    <w:p>
      <w:pPr>
        <w:pStyle w:val="Style5"/>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«В составе набора мебели: Нет»;</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«Требования к комплектующим элементам (крепежная фурнитура): Многокомпонентная конусная стяжка - в наличие»;</w:t>
      </w:r>
    </w:p>
    <w:p>
      <w:pPr>
        <w:pStyle w:val="Style5"/>
        <w:tabs>
          <w:tab w:leader="none" w:pos="2898" w:val="center"/>
          <w:tab w:leader="none" w:pos="4593" w:val="right"/>
          <w:tab w:leader="none" w:pos="5049" w:val="center"/>
        </w:tabs>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«Вид поставки:</w:t>
        <w:tab/>
        <w:t>В</w:t>
        <w:tab/>
        <w:t>разобранном</w:t>
        <w:tab/>
        <w:t>виде»;</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Комиссией Управления установлено, что в качестве обоснования установления дополнительных характеристик Заказчиком использовано следующее, единое для данных характеристик обоснование: «Включение характеристик применено в связи с необходимостью поставки данного вида мебели, применено в связи с отсутствием в КТРУ».</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Вместе с тем Комиссия Управления отмечает, что включение в Техническое задание дополнительных характеристик поставляемых товаров должно быть основано не на желании Заказчика, а на реальной потребности Заказчика в данных характеристиках с указанием конкретных причин установления тех или иных характеристик.</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При этом очевидно, что аукционная документация не содержит надлежащее обоснование использования дополнительных характеристик закупаемых товаров предусмотренное п. 6 Правил использования КТРУ, а лишь констатирует факт наличия необходимости таких характеристик, без обоснования такой необходимости.</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Заказчиком ч. 6 ст. 23, п.1 ч.1 ст.33, п.1 ч.1 ст.64 Закона о контрактной системе, поскольку Заказчиком в аукционной документации использованы функциональные, технические, качественные, эксплуатационные характеристики товаров без надлежащего обоснования установления таких характеристик, что указывает на наличие признаков состава административного правонарушения, ответственность за которое предусмотрена ч.4.2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Вместе с тем на заседании Комиссии Управления установлено, что согласно протоколу рассмотрения заявок на участие в электронном аукционе от 26.10.2021 №0373200138221000724-1-1 на участие в аукционе подано 3 заявки, признанные аукционной комиссией Заказчика соответствующими требованиям аукционной документации, что свидетельствует об отсутствии ограничения для участия в закупке и наличии возможности формирования предложения.</w:t>
      </w:r>
    </w:p>
    <w:p>
      <w:pPr>
        <w:pStyle w:val="Style5"/>
        <w:widowControl w:val="0"/>
        <w:keepNext w:val="0"/>
        <w:keepLines w:val="0"/>
        <w:shd w:val="clear" w:color="auto" w:fill="auto"/>
        <w:bidi w:val="0"/>
        <w:jc w:val="both"/>
        <w:spacing w:before="0" w:after="349"/>
        <w:ind w:left="0" w:right="20" w:firstLine="8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 Признать жалобу ООО «Медикал Сервис» на действия ГБУК Г. МОСКВЫ «ЦБС САО» обоснованной в части установления неправомерных требований к товарам, а также ненадлежащего обоснования дополнительных характеристик товаров, не предусмотренных КТРУ!</w:t>
      </w:r>
    </w:p>
    <w:p>
      <w:pPr>
        <w:pStyle w:val="Style5"/>
        <w:numPr>
          <w:ilvl w:val="0"/>
          <w:numId w:val="5"/>
        </w:numPr>
        <w:widowControl w:val="0"/>
        <w:keepNext w:val="0"/>
        <w:keepLines w:val="0"/>
        <w:shd w:val="clear" w:color="auto" w:fill="auto"/>
        <w:bidi w:val="0"/>
        <w:jc w:val="both"/>
        <w:spacing w:before="0" w:after="0" w:line="326" w:lineRule="exact"/>
        <w:ind w:left="0" w:right="20" w:firstLine="840"/>
      </w:pPr>
      <w:r>
        <w:rPr>
          <w:lang w:val="ru-RU" w:eastAsia="ru-RU" w:bidi="ru-RU"/>
          <w:w w:val="100"/>
          <w:spacing w:val="0"/>
          <w:color w:val="000000"/>
          <w:position w:val="0"/>
        </w:rPr>
        <w:t xml:space="preserve"> Признать в действиях Заказчика нарушение ч.6 ст.23, п.1 ч.1 ст.33, п.1 ч.1 ст.64 Закона о контрактной системе.</w:t>
      </w:r>
    </w:p>
    <w:p>
      <w:pPr>
        <w:pStyle w:val="Style5"/>
        <w:numPr>
          <w:ilvl w:val="0"/>
          <w:numId w:val="5"/>
        </w:numPr>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об осуществлении закупок Заказчику не выдавать, поскольку выявленные нарушения не повлияли на ход осуществления закупки.</w:t>
      </w:r>
    </w:p>
    <w:p>
      <w:pPr>
        <w:pStyle w:val="Style5"/>
        <w:numPr>
          <w:ilvl w:val="0"/>
          <w:numId w:val="5"/>
        </w:numPr>
        <w:widowControl w:val="0"/>
        <w:keepNext w:val="0"/>
        <w:keepLines w:val="0"/>
        <w:shd w:val="clear" w:color="auto" w:fill="auto"/>
        <w:bidi w:val="0"/>
        <w:jc w:val="both"/>
        <w:spacing w:before="0" w:after="300"/>
        <w:ind w:left="0" w:right="20" w:firstLine="84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7"/>
        <w:ind w:left="0" w:right="20" w:firstLine="6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940" w:val="right"/>
          <w:tab w:leader="none" w:pos="10174"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Л.Н.</w:t>
        <w:tab/>
        <w:t>Харченко</w:t>
      </w:r>
    </w:p>
    <w:p>
      <w:pPr>
        <w:pStyle w:val="Style5"/>
        <w:tabs>
          <w:tab w:leader="none" w:pos="10174" w:val="right"/>
          <w:tab w:leader="none" w:pos="10176"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2951" w:line="638" w:lineRule="exact"/>
        <w:ind w:left="0" w:right="20" w:firstLine="0"/>
      </w:pPr>
      <w:r>
        <w:rPr>
          <w:lang w:val="ru-RU" w:eastAsia="ru-RU" w:bidi="ru-RU"/>
          <w:w w:val="100"/>
          <w:spacing w:val="0"/>
          <w:color w:val="000000"/>
          <w:position w:val="0"/>
        </w:rPr>
        <w:t>А.А. Кутейников</w:t>
      </w:r>
    </w:p>
    <w:p>
      <w:pPr>
        <w:pStyle w:val="Style16"/>
        <w:widowControl w:val="0"/>
        <w:keepNext w:val="0"/>
        <w:keepLines w:val="0"/>
        <w:shd w:val="clear" w:color="auto" w:fill="auto"/>
        <w:bidi w:val="0"/>
        <w:jc w:val="left"/>
        <w:spacing w:before="0" w:after="0"/>
        <w:ind w:left="0" w:right="822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48" w:right="824"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Полужирный"/>
    <w:basedOn w:val="CharStyle6"/>
    <w:rPr>
      <w:lang w:val="ru-RU" w:eastAsia="ru-RU" w:bidi="ru-RU"/>
      <w:b/>
      <w:bCs/>
      <w:w w:val="100"/>
      <w:spacing w:val="0"/>
      <w:color w:val="000000"/>
      <w:position w:val="0"/>
    </w:rPr>
  </w:style>
  <w:style w:type="character" w:customStyle="1" w:styleId="CharStyle13">
    <w:name w:val="Основной текст (3)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4">
    <w:name w:val="Основной текст (3) + Не курсив"/>
    <w:basedOn w:val="CharStyle13"/>
    <w:rPr>
      <w:lang w:val="ru-RU" w:eastAsia="ru-RU" w:bidi="ru-RU"/>
      <w:i/>
      <w:iCs/>
      <w:w w:val="100"/>
      <w:spacing w:val="0"/>
      <w:color w:val="000000"/>
      <w:position w:val="0"/>
    </w:rPr>
  </w:style>
  <w:style w:type="character" w:customStyle="1" w:styleId="CharStyle15">
    <w:name w:val="Основной текст"/>
    <w:basedOn w:val="CharStyle6"/>
    <w:rPr>
      <w:lang w:val="ru-RU" w:eastAsia="ru-RU" w:bidi="ru-RU"/>
      <w:u w:val="single"/>
      <w:w w:val="100"/>
      <w:spacing w:val="0"/>
      <w:color w:val="000000"/>
      <w:position w:val="0"/>
    </w:rPr>
  </w:style>
  <w:style w:type="character" w:customStyle="1" w:styleId="CharStyle17">
    <w:name w:val="Основной текст (4)_"/>
    <w:basedOn w:val="DefaultParagraphFont"/>
    <w:link w:val="Style16"/>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17"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line="322"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before="264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