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line="260" w:lineRule="exact"/>
        <w:ind w:left="5360" w:right="0" w:firstLine="0"/>
      </w:pPr>
      <w:r>
        <w:rPr>
          <w:lang w:val="ru-RU" w:eastAsia="ru-RU" w:bidi="ru-RU"/>
          <w:w w:val="100"/>
          <w:spacing w:val="0"/>
          <w:color w:val="000000"/>
          <w:position w:val="0"/>
        </w:rPr>
        <w:t>ООО «АЛЬФАКОМ»</w:t>
      </w:r>
    </w:p>
    <w:p>
      <w:pPr>
        <w:pStyle w:val="Style5"/>
        <w:widowControl w:val="0"/>
        <w:keepNext w:val="0"/>
        <w:keepLines w:val="0"/>
        <w:shd w:val="clear" w:color="auto" w:fill="auto"/>
        <w:bidi w:val="0"/>
        <w:jc w:val="left"/>
        <w:spacing w:before="0" w:after="0" w:line="326" w:lineRule="exact"/>
        <w:ind w:left="5360" w:right="340" w:firstLine="0"/>
      </w:pPr>
      <w:r>
        <w:rPr>
          <w:lang w:val="ru-RU" w:eastAsia="ru-RU" w:bidi="ru-RU"/>
          <w:w w:val="100"/>
          <w:spacing w:val="0"/>
          <w:color w:val="000000"/>
          <w:position w:val="0"/>
        </w:rPr>
        <w:t>115114, г. Москва, ул. Летниковская, д. 4, стр. 5, эт. мансарда П 5А, оф.</w:t>
      </w:r>
    </w:p>
    <w:p>
      <w:pPr>
        <w:pStyle w:val="Style5"/>
        <w:widowControl w:val="0"/>
        <w:keepNext w:val="0"/>
        <w:keepLines w:val="0"/>
        <w:shd w:val="clear" w:color="auto" w:fill="auto"/>
        <w:bidi w:val="0"/>
        <w:jc w:val="left"/>
        <w:spacing w:before="0" w:after="300" w:line="322" w:lineRule="exact"/>
        <w:ind w:left="5360" w:right="340" w:firstLine="0"/>
      </w:pPr>
      <w:r>
        <w:rPr>
          <w:lang w:val="ru-RU" w:eastAsia="ru-RU" w:bidi="ru-RU"/>
          <w:w w:val="100"/>
          <w:spacing w:val="0"/>
          <w:color w:val="000000"/>
          <w:position w:val="0"/>
        </w:rPr>
        <w:t xml:space="preserve">1, рабочее место 1 </w:t>
      </w:r>
      <w:r>
        <w:rPr>
          <w:lang w:val="en-US" w:eastAsia="en-US" w:bidi="en-US"/>
          <w:w w:val="100"/>
          <w:spacing w:val="0"/>
          <w:color w:val="000000"/>
          <w:position w:val="0"/>
        </w:rPr>
        <w:t>info@alfa-com .su</w:t>
      </w:r>
    </w:p>
    <w:p>
      <w:pPr>
        <w:pStyle w:val="Style5"/>
        <w:widowControl w:val="0"/>
        <w:keepNext w:val="0"/>
        <w:keepLines w:val="0"/>
        <w:shd w:val="clear" w:color="auto" w:fill="auto"/>
        <w:bidi w:val="0"/>
        <w:jc w:val="left"/>
        <w:spacing w:before="0" w:after="0" w:line="322" w:lineRule="exact"/>
        <w:ind w:left="5360" w:right="340" w:firstLine="0"/>
      </w:pPr>
      <w:r>
        <w:rPr>
          <w:lang w:val="ru-RU" w:eastAsia="ru-RU" w:bidi="ru-RU"/>
          <w:w w:val="100"/>
          <w:spacing w:val="0"/>
          <w:color w:val="000000"/>
          <w:position w:val="0"/>
        </w:rPr>
        <w:t>ГБУ «Автомобильные дороги Троицкого и Новомосковского административных округов города Москвы»</w:t>
      </w:r>
    </w:p>
    <w:p>
      <w:pPr>
        <w:pStyle w:val="Style5"/>
        <w:widowControl w:val="0"/>
        <w:keepNext w:val="0"/>
        <w:keepLines w:val="0"/>
        <w:shd w:val="clear" w:color="auto" w:fill="auto"/>
        <w:bidi w:val="0"/>
        <w:jc w:val="left"/>
        <w:spacing w:before="0" w:after="0" w:line="322" w:lineRule="exact"/>
        <w:ind w:left="5360" w:right="340" w:firstLine="0"/>
      </w:pPr>
      <w:r>
        <w:rPr>
          <w:lang w:val="ru-RU" w:eastAsia="ru-RU" w:bidi="ru-RU"/>
          <w:w w:val="100"/>
          <w:spacing w:val="0"/>
          <w:color w:val="000000"/>
          <w:position w:val="0"/>
        </w:rPr>
        <w:t>Изюмская ул., д. 37, корп. 2, Москва, 117624</w:t>
      </w:r>
    </w:p>
    <w:p>
      <w:pPr>
        <w:pStyle w:val="Style5"/>
        <w:widowControl w:val="0"/>
        <w:keepNext w:val="0"/>
        <w:keepLines w:val="0"/>
        <w:shd w:val="clear" w:color="auto" w:fill="auto"/>
        <w:bidi w:val="0"/>
        <w:jc w:val="left"/>
        <w:spacing w:before="0" w:after="300" w:line="322" w:lineRule="exact"/>
        <w:ind w:left="5360" w:right="0" w:firstLine="0"/>
      </w:pPr>
      <w:r>
        <w:fldChar w:fldCharType="begin"/>
      </w:r>
      <w:r>
        <w:rPr>
          <w:color w:val="000000"/>
        </w:rPr>
        <w:instrText> HYPERLINK "mailto:sadovoyie@tinao.mos.ru" </w:instrText>
      </w:r>
      <w:r>
        <w:fldChar w:fldCharType="separate"/>
      </w:r>
      <w:r>
        <w:rPr>
          <w:rStyle w:val="Hyperlink"/>
          <w:lang w:val="en-US" w:eastAsia="en-US" w:bidi="en-US"/>
          <w:w w:val="100"/>
          <w:spacing w:val="0"/>
          <w:position w:val="0"/>
        </w:rPr>
        <w:t>sadovoyie@tinao.mos.ru</w:t>
      </w:r>
      <w:r>
        <w:fldChar w:fldCharType="end"/>
      </w:r>
    </w:p>
    <w:p>
      <w:pPr>
        <w:pStyle w:val="Style5"/>
        <w:widowControl w:val="0"/>
        <w:keepNext w:val="0"/>
        <w:keepLines w:val="0"/>
        <w:shd w:val="clear" w:color="auto" w:fill="auto"/>
        <w:bidi w:val="0"/>
        <w:jc w:val="left"/>
        <w:spacing w:before="0" w:after="0" w:line="322" w:lineRule="exact"/>
        <w:ind w:left="5360" w:right="340" w:firstLine="0"/>
      </w:pPr>
      <w:r>
        <w:rPr>
          <w:lang w:val="ru-RU" w:eastAsia="ru-RU" w:bidi="ru-RU"/>
          <w:w w:val="100"/>
          <w:spacing w:val="0"/>
          <w:color w:val="000000"/>
          <w:position w:val="0"/>
        </w:rPr>
        <w:t>Префектура Троицкого и Новомосковского административных округов города Москвы 108814, г.Москва, ул. Сосенский стан, д.4</w:t>
      </w:r>
    </w:p>
    <w:p>
      <w:pPr>
        <w:pStyle w:val="Style5"/>
        <w:widowControl w:val="0"/>
        <w:keepNext w:val="0"/>
        <w:keepLines w:val="0"/>
        <w:shd w:val="clear" w:color="auto" w:fill="auto"/>
        <w:bidi w:val="0"/>
        <w:jc w:val="left"/>
        <w:spacing w:before="0" w:after="540" w:line="322" w:lineRule="exact"/>
        <w:ind w:left="5360" w:right="0" w:firstLine="0"/>
      </w:pPr>
      <w:r>
        <w:fldChar w:fldCharType="begin"/>
      </w:r>
      <w:r>
        <w:rPr>
          <w:color w:val="000000"/>
        </w:rPr>
        <w:instrText> HYPERLINK "mailto:zakupki.tinao@mos.ru" </w:instrText>
      </w:r>
      <w:r>
        <w:fldChar w:fldCharType="separate"/>
      </w:r>
      <w:r>
        <w:rPr>
          <w:rStyle w:val="Hyperlink"/>
          <w:lang w:val="en-US" w:eastAsia="en-US" w:bidi="en-US"/>
          <w:w w:val="100"/>
          <w:spacing w:val="0"/>
          <w:position w:val="0"/>
        </w:rPr>
        <w:t>zakupki.tinao@mos.ru</w:t>
      </w:r>
      <w:r>
        <w:fldChar w:fldCharType="end"/>
      </w:r>
    </w:p>
    <w:p>
      <w:pPr>
        <w:pStyle w:val="Style8"/>
        <w:tabs>
          <w:tab w:leader="none" w:pos="12413" w:val="right"/>
        </w:tabs>
        <w:widowControl w:val="0"/>
        <w:keepNext w:val="0"/>
        <w:keepLines w:val="0"/>
        <w:shd w:val="clear" w:color="auto" w:fill="auto"/>
        <w:bidi w:val="0"/>
        <w:jc w:val="left"/>
        <w:spacing w:before="0" w:after="0"/>
        <w:ind w:left="2280" w:right="2320" w:firstLine="2120"/>
      </w:pPr>
      <w:r>
        <w:rPr>
          <w:lang w:val="ru-RU" w:eastAsia="ru-RU" w:bidi="ru-RU"/>
          <w:w w:val="100"/>
          <w:spacing w:val="0"/>
          <w:color w:val="000000"/>
          <w:position w:val="0"/>
        </w:rPr>
        <w:t>РЕШЕНИЕ по делу №077/06/106-18676/2021 о нарушении законодательства о контрактной системе</w:t>
      </w:r>
    </w:p>
    <w:p>
      <w:pPr>
        <w:pStyle w:val="Style8"/>
        <w:numPr>
          <w:ilvl w:val="0"/>
          <w:numId w:val="1"/>
        </w:numPr>
        <w:tabs>
          <w:tab w:leader="none" w:pos="10133" w:val="right"/>
          <w:tab w:leader="none" w:pos="9173"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5"/>
        <w:widowControl w:val="0"/>
        <w:keepNext w:val="0"/>
        <w:keepLines w:val="0"/>
        <w:shd w:val="clear" w:color="auto" w:fill="auto"/>
        <w:bidi w:val="0"/>
        <w:jc w:val="both"/>
        <w:spacing w:before="0" w:after="0" w:line="322" w:lineRule="exact"/>
        <w:ind w:left="40" w:right="20" w:firstLine="6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left"/>
        <w:spacing w:before="0" w:after="0" w:line="283" w:lineRule="exact"/>
        <w:ind w:left="4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left"/>
        <w:spacing w:before="0" w:after="0" w:line="322" w:lineRule="exact"/>
        <w:ind w:left="4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left"/>
        <w:spacing w:before="0" w:after="0" w:line="322" w:lineRule="exact"/>
        <w:ind w:left="40" w:right="20" w:firstLine="72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left"/>
        <w:spacing w:before="0" w:after="0" w:line="283" w:lineRule="exact"/>
        <w:ind w:left="40" w:right="20" w:firstLine="72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widowControl w:val="0"/>
        <w:keepNext w:val="0"/>
        <w:keepLines w:val="0"/>
        <w:shd w:val="clear" w:color="auto" w:fill="auto"/>
        <w:bidi w:val="0"/>
        <w:jc w:val="both"/>
        <w:spacing w:before="0" w:after="0" w:line="322" w:lineRule="exact"/>
        <w:ind w:left="40" w:right="20" w:firstLine="6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при участии представителей:</w:t>
      </w:r>
    </w:p>
    <w:p>
      <w:pPr>
        <w:pStyle w:val="Style3"/>
        <w:framePr w:w="1685" w:h="394" w:wrap="around" w:vAnchor="text" w:hAnchor="margin" w:x="385" w:y="942"/>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000152053960</w:t>
      </w:r>
    </w:p>
    <w:p>
      <w:pPr>
        <w:pStyle w:val="Style5"/>
        <w:widowControl w:val="0"/>
        <w:keepNext w:val="0"/>
        <w:keepLines w:val="0"/>
        <w:shd w:val="clear" w:color="auto" w:fill="auto"/>
        <w:bidi w:val="0"/>
        <w:jc w:val="both"/>
        <w:spacing w:before="0" w:after="0" w:line="322" w:lineRule="exact"/>
        <w:ind w:left="40" w:right="20" w:firstLine="600"/>
      </w:pPr>
      <w:r>
        <w:rPr>
          <w:lang w:val="ru-RU" w:eastAsia="ru-RU" w:bidi="ru-RU"/>
          <w:w w:val="100"/>
          <w:spacing w:val="0"/>
          <w:color w:val="000000"/>
          <w:position w:val="0"/>
        </w:rPr>
        <w:t>ООО «АЛЬФАКОМ», ГБУ «Автомобильные дороги Троицкого и Новомосковского административных округов города Москвы», Префектурs</w:t>
      </w:r>
      <w:r>
        <w:br w:type="page"/>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Троицкого и Новомосковского административных округов города Москвы</w:t>
      </w:r>
    </w:p>
    <w:p>
      <w:pPr>
        <w:pStyle w:val="Style5"/>
        <w:widowControl w:val="0"/>
        <w:keepNext w:val="0"/>
        <w:keepLines w:val="0"/>
        <w:shd w:val="clear" w:color="auto" w:fill="auto"/>
        <w:bidi w:val="0"/>
        <w:jc w:val="both"/>
        <w:spacing w:before="0" w:after="349" w:line="322" w:lineRule="exact"/>
        <w:ind w:left="20" w:right="20" w:firstLine="600"/>
      </w:pPr>
      <w:r>
        <w:rPr>
          <w:lang w:val="ru-RU" w:eastAsia="ru-RU" w:bidi="ru-RU"/>
          <w:w w:val="100"/>
          <w:spacing w:val="0"/>
          <w:color w:val="000000"/>
          <w:position w:val="0"/>
        </w:rPr>
        <w:t>рассмотрев жалобу ООО «АЛЬФАКОМ» (далее — Заявитель) на действия ГБУ «Автомобильные дороги Троицкого и Новомосковского административных округов города Москвы» (далее — Заказчик) при проведении электронного аукциона на право заключения государственного контракта на поставку установок электрогенераторных (Закупка № 0173200024421000136)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10"/>
        </w:rPr>
        <w:t>ици</w:t>
      </w:r>
      <w:r>
        <w:rPr>
          <w:lang w:val="ru-RU" w:eastAsia="ru-RU" w:bidi="ru-RU"/>
          <w:w w:val="100"/>
          <w:spacing w:val="0"/>
          <w:color w:val="000000"/>
          <w:position w:val="0"/>
        </w:rPr>
        <w:t>пальных нужд, утвержденным приказом ФАС России от 19.11.2014 №727/14 (далее — Административный регламент)</w:t>
      </w:r>
    </w:p>
    <w:p>
      <w:pPr>
        <w:pStyle w:val="Style11"/>
        <w:widowControl w:val="0"/>
        <w:keepNext/>
        <w:keepLines/>
        <w:shd w:val="clear" w:color="auto" w:fill="auto"/>
        <w:bidi w:val="0"/>
        <w:spacing w:before="0" w:after="308"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15.10.2021 №ЕИ/63479/21.</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Заявитель обжалует действия аукционной комиссии Заказчика, выразившиеся в неправомерном признании заявки победителя соответствующей требованиям аукционной документации.</w:t>
      </w:r>
    </w:p>
    <w:p>
      <w:pPr>
        <w:pStyle w:val="Style5"/>
        <w:tabs>
          <w:tab w:leader="none" w:pos="2314" w:val="left"/>
        </w:tabs>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Согласно протоколу подведения итогов электронного аукциона от</w:t>
      </w:r>
    </w:p>
    <w:p>
      <w:pPr>
        <w:pStyle w:val="Style5"/>
        <w:numPr>
          <w:ilvl w:val="0"/>
          <w:numId w:val="3"/>
        </w:numPr>
        <w:tabs>
          <w:tab w:leader="none" w:pos="1616" w:val="left"/>
          <w:tab w:leader="none" w:pos="1618"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№0173200024421000136-3 заявка ООО «РУСАГРО» признана</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победителем электронного аукциона.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п.14.3 информационной карты аукционной документации указывает на применение запрета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 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ч.3-6 ст.66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п.6 ч.5 ст.66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также установлено, что Заказчиком в п.18.2 информационной карты аукционной документации предъявлены, в том числе, следующие требования к составу второй части заявки на участие в аукционе: «Документы, предусмотренные нормативными правовыми актами, принятыми в соответствии со ст. 14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В соответствии с постановлением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для подтверждения соответствия товара установленному запрету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 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такая заявка приравнивается к заявке, в которой содержится предложение о поставке товаров, происходящих из иностранных государств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Пунктом 6 постановления № 616 определено, что в целях реализации настоящего постановления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Информация о реестровых записях о товаре включается в контракт.</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ч.19 ст.68 Закона о контрактной системе, в части соответствия их требованиям, установленным документацией о таком аукционе.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доводам жалобы заявка победителя неправомерно признана аукционной комиссией Заказчика соответствующей требованиям аукционной документации, поскольку Заявитель полагает, что в составе заявки победителя отсутствуют соответствующие выписки из реестра российской промышленной продукции или реестра евразийской промышленной продукции либо такие выписки представлены на продукцию не отвечающую предмету закупки.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установлено, что в составе второй части заявки ООО «РУСАГРО» представлены выписки из реестра российской промышленной продукции, при этом вторая часть заявки участника содержит, а именно выписка №4532\7\2020 от 20.02.2021 и №4532\12\2020 от 20.02.2021 на электроагрегаты и электростанции, что соответствует требованиям аукционной документации.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 таких данных заявка ООО «РУСАГРО» не противоречит требованиям, установленным аукционной документацией.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ч.11 ст.24.1, ч.3 или ч.3.1, ч.5, ч.8.2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ч.2 и ч.2.1 (при наличии таких требований) ст.31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Комиссия Управления приходит к выводу, что решение аукционной комиссии Заказчика о признании второй части заявки ООО «РУСАГРО» соответствующей требованиям аукционной документации не противоречит Закону о контрактной системе и является правомерным.</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11"/>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Признать жалобу ООО «АЛЬФАКОМ» на действия аукционной комиссии ГБУ «Автомобильные дороги Троицкого и Новомосковского административных округов города Москвы» необоснованной.</w:t>
      </w:r>
    </w:p>
    <w:p>
      <w:pPr>
        <w:pStyle w:val="Style5"/>
        <w:numPr>
          <w:ilvl w:val="0"/>
          <w:numId w:val="7"/>
        </w:numPr>
        <w:widowControl w:val="0"/>
        <w:keepNext w:val="0"/>
        <w:keepLines w:val="0"/>
        <w:shd w:val="clear" w:color="auto" w:fill="auto"/>
        <w:bidi w:val="0"/>
        <w:jc w:val="both"/>
        <w:spacing w:before="0" w:after="296" w:line="322" w:lineRule="exact"/>
        <w:ind w:left="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15.10.2021 №ЕИ/63479/21.</w:t>
      </w:r>
    </w:p>
    <w:p>
      <w:pPr>
        <w:pStyle w:val="Style5"/>
        <w:widowControl w:val="0"/>
        <w:keepNext w:val="0"/>
        <w:keepLines w:val="0"/>
        <w:shd w:val="clear" w:color="auto" w:fill="auto"/>
        <w:bidi w:val="0"/>
        <w:jc w:val="both"/>
        <w:spacing w:before="0" w:after="347" w:line="326"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5"/>
        <w:framePr w:w="4504" w:h="1282" w:wrap="around" w:vAnchor="text" w:hAnchor="margin" w:x="27" w:y="-318"/>
        <w:widowControl w:val="0"/>
        <w:keepNext w:val="0"/>
        <w:keepLines w:val="0"/>
        <w:shd w:val="clear" w:color="auto" w:fill="auto"/>
        <w:bidi w:val="0"/>
        <w:jc w:val="both"/>
        <w:spacing w:before="0" w:after="0" w:line="638" w:lineRule="exact"/>
        <w:ind w:left="0" w:right="100" w:firstLine="0"/>
      </w:pPr>
      <w:r>
        <w:rPr>
          <w:rStyle w:val="CharStyle6"/>
          <w:spacing w:val="0"/>
        </w:rPr>
        <w:t>Заместитель председателя Комиссии Члены Комиссии</w:t>
      </w:r>
    </w:p>
    <w:p>
      <w:pPr>
        <w:pStyle w:val="Style5"/>
        <w:widowControl w:val="0"/>
        <w:keepNext w:val="0"/>
        <w:keepLines w:val="0"/>
        <w:shd w:val="clear" w:color="auto" w:fill="auto"/>
        <w:bidi w:val="0"/>
        <w:jc w:val="right"/>
        <w:spacing w:before="0" w:after="6495" w:line="643" w:lineRule="exact"/>
        <w:ind w:left="3720" w:right="20" w:firstLine="0"/>
      </w:pPr>
      <w:r>
        <w:rPr>
          <w:lang w:val="ru-RU" w:eastAsia="ru-RU" w:bidi="ru-RU"/>
          <w:w w:val="100"/>
          <w:spacing w:val="0"/>
          <w:color w:val="000000"/>
          <w:position w:val="0"/>
        </w:rPr>
        <w:t>С.И. Казарин А.А.Кутейников Е.О. Сгибнев</w:t>
      </w:r>
    </w:p>
    <w:p>
      <w:pPr>
        <w:pStyle w:val="Style13"/>
        <w:widowControl w:val="0"/>
        <w:keepNext w:val="0"/>
        <w:keepLines w:val="0"/>
        <w:shd w:val="clear" w:color="auto" w:fill="auto"/>
        <w:bidi w:val="0"/>
        <w:jc w:val="left"/>
        <w:spacing w:before="0" w:after="0"/>
        <w:ind w:left="0" w:right="820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0.10.%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6.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7"/>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5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618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