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68" w:after="37"/>
        <w:ind w:left="0" w:right="2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21"/>
        <w:ind w:left="0" w:right="20" w:firstLine="0"/>
      </w:pPr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37"/>
        <w:ind w:left="0" w:right="20" w:firstLine="0"/>
      </w:pPr>
      <w:r>
        <w:rPr>
          <w:rStyle w:val="CharStyle11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2"/>
        <w:tabs>
          <w:tab w:leader="underscore" w:pos="1538" w:val="left"/>
        </w:tabs>
        <w:widowControl w:val="0"/>
        <w:keepNext/>
        <w:keepLines/>
        <w:shd w:val="clear" w:color="auto" w:fill="auto"/>
        <w:bidi w:val="0"/>
        <w:spacing w:before="0" w:after="148" w:line="420" w:lineRule="exact"/>
        <w:ind w:left="40" w:right="0" w:firstLine="0"/>
      </w:pPr>
      <w:bookmarkStart w:id="0" w:name="bookmark0"/>
      <w:r>
        <w:rPr>
          <w:rStyle w:val="CharStyle14"/>
          <w:b w:val="0"/>
          <w:bCs w:val="0"/>
          <w:i w:val="0"/>
          <w:iCs w:val="0"/>
        </w:rPr>
        <w:tab/>
        <w:t xml:space="preserve"> </w:t>
      </w:r>
      <w:r>
        <w:rPr>
          <w:rStyle w:val="CharStyle15"/>
          <w:vertAlign w:val="subscript"/>
          <w:b w:val="0"/>
          <w:bCs w:val="0"/>
          <w:i w:val="0"/>
          <w:iCs w:val="0"/>
        </w:rPr>
        <w:t>№</w:t>
      </w:r>
      <w:r>
        <w:rPr>
          <w:rStyle w:val="CharStyle15"/>
          <w:b w:val="0"/>
          <w:bCs w:val="0"/>
          <w:i w:val="0"/>
          <w:iCs w:val="0"/>
        </w:rPr>
        <w:t xml:space="preserve"> </w:t>
      </w:r>
      <w:r>
        <w:rPr>
          <w:rStyle w:val="CharStyle16"/>
          <w:b/>
          <w:bCs/>
          <w:i/>
          <w:iCs/>
        </w:rPr>
        <w:t>(W-Of/'fMSf</w:t>
      </w:r>
      <w:bookmarkEnd w:id="0"/>
    </w:p>
    <w:p>
      <w:pPr>
        <w:pStyle w:val="Style17"/>
        <w:tabs>
          <w:tab w:leader="none" w:pos="2272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0" w:right="0" w:firstLine="0"/>
      </w:pPr>
      <w:r>
        <w:rPr>
          <w:rStyle w:val="CharStyle19"/>
        </w:rPr>
        <w:t>На №</w:t>
        <w:tab/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2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359фз-21 029/06/64-1106/2021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22"/>
          <w:b/>
          <w:bCs/>
        </w:rPr>
        <w:t>Заказчик 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налоговой службы по Архангельской области и Ненецкому автономному округу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220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163000, г. Архангельск, ул. Свободы, д. 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"mailto:zakupki_ufns29@mail.ru"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zakupki_ufns29@mail.ru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rStyle w:val="CharStyle22"/>
          <w:b/>
          <w:bCs/>
        </w:rPr>
        <w:t>Оператор электронной плошадки: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 стр. 9 </w:t>
      </w:r>
      <w:r>
        <w:rPr>
          <w:rStyle w:val="CharStyle25"/>
        </w:rPr>
        <w:t xml:space="preserve">E-mail: </w:t>
      </w:r>
      <w:r>
        <w:fldChar w:fldCharType="begin"/>
      </w:r>
      <w:r>
        <w:rPr>
          <w:rStyle w:val="CharStyle25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22"/>
          <w:b/>
          <w:bCs/>
        </w:rPr>
        <w:t>Заявитель: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"МД-КОНСАЛТИНГ"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445051, г. Тольятти, Приморский б-р, д. 26, оф. 5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99" w:left="990" w:right="1220" w:bottom="399" w:header="0" w:footer="3" w:gutter="0"/>
          <w:rtlGutter w:val="0"/>
          <w:cols w:num="2" w:space="720" w:equalWidth="0">
            <w:col w:w="4747" w:space="734"/>
            <w:col w:w="4214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"mailto:md-consulting63@mail.ru"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md-consulting63@mail.ru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8" w:line="22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8255" w:val="right"/>
          <w:tab w:leader="none" w:pos="97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6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 октября 2021 года</w:t>
        <w:tab/>
        <w:t>г.</w:t>
        <w:tab/>
        <w:t>Архангельск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07" w:line="278" w:lineRule="exact"/>
        <w:ind w:left="2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8"/>
        </w:rPr>
        <w:t>Председатель комиссии:</w:t>
      </w:r>
    </w:p>
    <w:p>
      <w:pPr>
        <w:pStyle w:val="Style23"/>
        <w:tabs>
          <w:tab w:leader="none" w:pos="3690" w:val="right"/>
          <w:tab w:leader="none" w:pos="40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0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Цакулов Ю.Г.</w:t>
        <w:tab/>
        <w:t>Заместитель</w:t>
        <w:tab/>
        <w:t>руководителя Управления - начальник отдела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123" w:line="220" w:lineRule="exact"/>
        <w:ind w:left="2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антимонопольного контроля и рекламы,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760" w:right="0" w:firstLine="0"/>
      </w:pPr>
      <w:r>
        <w:rPr>
          <w:rStyle w:val="CharStyle29"/>
          <w:b/>
          <w:bCs/>
        </w:rPr>
        <w:t>Члены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23"/>
        <w:tabs>
          <w:tab w:leader="none" w:pos="24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 -эксперт отдела контроля закупок;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76" w:line="269" w:lineRule="exact"/>
        <w:ind w:left="2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20" w:right="0" w:firstLine="700"/>
      </w:pPr>
      <w:r>
        <w:rPr>
          <w:rStyle w:val="CharStyle29"/>
          <w:b/>
          <w:bCs/>
        </w:rPr>
        <w:t>в присутствии представителей от: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20" w:right="20" w:firstLine="700"/>
      </w:pPr>
      <w:r>
        <w:rPr>
          <w:rStyle w:val="CharStyle30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Сынчикова Д.Н. (доверенность от 19.10.2021 № 45), Родионова А.В. (доверенность от 19.10.2021 № 45);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23" w:line="274" w:lineRule="exact"/>
        <w:ind w:left="220" w:right="20" w:firstLine="700"/>
      </w:pPr>
      <w:r>
        <w:rPr>
          <w:rStyle w:val="CharStyle30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6"/>
        <w:framePr w:h="234" w:wrap="around" w:vAnchor="text" w:hAnchor="margin" w:x="8966" w:y="99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0 3 6 0 5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27" w:line="274" w:lineRule="exact"/>
        <w:ind w:left="2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 октября 2021 года в Архангельское УФАС России — уполномоченный федеральный орган исполнительной власти, осуществляющий контроль в сфере закупок, поступила жалоба ООО "МД-КОНСАЛТИНГ" (далее - Заявитель) на действия заказчика -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rStyle w:val="CharStyle33"/>
        </w:rPr>
        <w:t>ООО «Центр документации»; 163000, г. Архангельск, пл. Ленина, д.4, оф.2; ИНН 2901204236; зак. 19, тир. 5000. 27.08.2021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07" w:line="27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Управления Федеральной налоговой службы по Архангельской области и Ненецкому автономному округу (далее - Заказчик), при проведении электронного аукциона на право заключения государственного контракта на оказание услуг по техническому обслуживанию и восстановлению функционирования оборудования для защиты и контроля параметров снабжения энергией в административном здании УФНС России по Архангельской области и Ненецкому автономному округу и подведомственных инспекциях (извещение №0124100003221000035).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00"/>
      </w:pPr>
      <w:r>
        <w:rPr>
          <w:rStyle w:val="CharStyle29"/>
          <w:b/>
          <w:bCs/>
        </w:rPr>
        <w:t>Содержание жалобы: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 в связи с утверждением документации об аукционе несоответствующей ФЗ «О контрактной системе».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73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19.10.2021 № 14-35/14483.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06.10.2021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№0124100003221000035 о проведении электронного аукциона и документация об электронном аукционе на право заключения государственного контракта на оказание услуг по техническому обслуживанию и восстановлению функционирования оборудования для защиты и контроля параметров снабжения энергией в административном здании УФНС России по Архангельской области и Ненецкому автономному округу и подведомственных инспекциях (далее - документация об аукционе).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государственного контракта - 10 000 000,00рублей.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84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указывает, что Заказчиком неправомерно установлено требование о предоставлении в составе заявки конкретных показателей товаров.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оказание услуг по техническому обслуживанию и восстановлению функционирования оборудования для защиты и контроля параметров снабжения энергией в административном здании УФНС России по Архангельской области и Ненецкому автономному округу и подведомственных инспекциях.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Разделом 3 «Техническое задание» документации об аукционе определены цели использования результатов услуг, а именно: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Поддержание в исправном состоянии оборудования в процессе эксплуатации путем: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-периодического проведения работ по профилактике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-контроля технического состояния и устранения неисправностей, определённых эксплуатационной документацией и типовыми технологическими процессами ТО.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76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-текущего ремонта.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64 ФЗ «О контрактной системе» документация об электронном аукционе должна содержать требования к содержанию, составу заявки на участие в таком аукционе в соответствии с частями 3-6 статьи 66 ФЗ «О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66 ФЗ «О контрактной системе»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>
      <w:pPr>
        <w:pStyle w:val="Style23"/>
        <w:numPr>
          <w:ilvl w:val="0"/>
          <w:numId w:val="1"/>
        </w:numPr>
        <w:tabs>
          <w:tab w:leader="none" w:pos="10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23"/>
        <w:numPr>
          <w:ilvl w:val="0"/>
          <w:numId w:val="1"/>
        </w:numPr>
        <w:tabs>
          <w:tab w:leader="none" w:pos="12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осуществлении закупки товара, в том числе </w:t>
      </w:r>
      <w:r>
        <w:rPr>
          <w:rStyle w:val="CharStyle36"/>
        </w:rPr>
        <w:t>поставляемого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при выполнении закупаемых работ, оказании закупаемых услуг: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1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" w:line="283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2.1.1 раздела 2 «Требования к содержанию и составу заявки на участие в аукционе в электронной форме и инструкция по её заполнению» документации об аукционе определено, что первая часть заявки на участие в электронном аукционе должна содержать следующую информацию:</w:t>
      </w:r>
    </w:p>
    <w:tbl>
      <w:tblPr>
        <w:tblOverlap w:val="never"/>
        <w:tblLayout w:type="fixed"/>
        <w:jc w:val="center"/>
      </w:tblPr>
      <w:tblGrid>
        <w:gridCol w:w="562"/>
        <w:gridCol w:w="2818"/>
        <w:gridCol w:w="6269"/>
      </w:tblGrid>
      <w:tr>
        <w:trPr>
          <w:trHeight w:val="5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80" w:right="0" w:firstLine="0"/>
            </w:pPr>
            <w:r>
              <w:rPr>
                <w:rStyle w:val="CharStyle37"/>
              </w:rPr>
              <w:t>№</w:t>
            </w:r>
          </w:p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80" w:right="0" w:firstLine="0"/>
            </w:pPr>
            <w:r>
              <w:rPr>
                <w:rStyle w:val="CharStyle37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37"/>
              </w:rPr>
              <w:t>Состав первой части заявки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7"/>
              </w:rPr>
              <w:t>Содержание информации и сведений</w:t>
            </w:r>
          </w:p>
        </w:tc>
      </w:tr>
      <w:tr>
        <w:trPr>
          <w:trHeight w:val="33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80" w:right="0" w:firstLine="0"/>
            </w:pPr>
            <w:r>
              <w:rPr>
                <w:rStyle w:val="CharStyle38"/>
              </w:rPr>
              <w:t>1</w:t>
            </w:r>
            <w:r>
              <w:rPr>
                <w:rStyle w:val="CharStyle39"/>
              </w:rPr>
              <w:t>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83" w:lineRule="exact"/>
              <w:ind w:left="0" w:right="0" w:firstLine="0"/>
            </w:pPr>
            <w:r>
              <w:rPr>
                <w:rStyle w:val="CharStyle37"/>
              </w:rPr>
              <w:t>Информация в отношении оказываемых услуг: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8" w:lineRule="exact"/>
              <w:ind w:left="0" w:right="0" w:firstLine="0"/>
            </w:pPr>
            <w:r>
              <w:rPr>
                <w:rStyle w:val="CharStyle37"/>
              </w:rPr>
              <w:t>Согласие Участника аукциона на оказание услуг по техническому обслуживанию и восстановлению функционирования оборудования для защиты и контроля параметров снабжения энергией в административных зданиях УФНС России по Архангельской области и Ненецкому автономному округу и подведомственных инспекций в 2021-2023 годах в соответствии с требованиями, установленными в ТЕХНИЧЕСКОМ ЗАДАНИИ (Раздел 3 настоящей документации об аукционе), ПРОЕКТЕ ГОСУДАРСТВЕННОГО КОНТРАКТА (Раздел 5 настоящей документации об аукционе).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80" w:right="0" w:firstLine="0"/>
            </w:pPr>
            <w:r>
              <w:rPr>
                <w:rStyle w:val="CharStyle37"/>
              </w:rPr>
              <w:t>2.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8" w:lineRule="exact"/>
              <w:ind w:left="0" w:right="0" w:firstLine="0"/>
            </w:pPr>
            <w:r>
              <w:rPr>
                <w:rStyle w:val="CharStyle37"/>
              </w:rPr>
              <w:t>Информация в отношении товара, поставляемого заказчику при оказании закупаемых услуг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0" w:lineRule="exact"/>
              <w:ind w:left="0" w:right="0" w:firstLine="0"/>
            </w:pPr>
            <w:r>
              <w:rPr>
                <w:rStyle w:val="CharStyle37"/>
              </w:rPr>
              <w:t>наименование страны происхождения товара;</w:t>
            </w:r>
          </w:p>
        </w:tc>
      </w:tr>
      <w:tr>
        <w:trPr>
          <w:trHeight w:val="571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648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bottom"/>
          </w:tcPr>
          <w:p>
            <w:pPr>
              <w:framePr w:w="9648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88" w:lineRule="exact"/>
              <w:ind w:left="0" w:right="0" w:firstLine="0"/>
            </w:pPr>
            <w:r>
              <w:rPr>
                <w:rStyle w:val="CharStyle37"/>
              </w:rPr>
              <w:t>конкретные показатели, соответствующие значениям, установленным документацией об аукционе;</w:t>
            </w:r>
          </w:p>
        </w:tc>
      </w:tr>
      <w:tr>
        <w:trPr>
          <w:trHeight w:val="576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center"/>
          </w:tcPr>
          <w:p>
            <w:pPr>
              <w:framePr w:w="9648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bottom"/>
          </w:tcPr>
          <w:p>
            <w:pPr>
              <w:framePr w:w="9648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3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0" w:lineRule="exact"/>
              <w:ind w:left="0" w:right="0" w:firstLine="0"/>
            </w:pPr>
            <w:r>
              <w:rPr>
                <w:rStyle w:val="CharStyle37"/>
              </w:rPr>
              <w:t>указание на товарный знак (при наличии).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190" w:after="0" w:line="278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3 «Техническое задание» документации об аукционе установлены требования о представлении конкретных показателей, соответствующих значениям, установленным документацией об аукционе:</w:t>
      </w:r>
    </w:p>
    <w:p>
      <w:pPr>
        <w:pStyle w:val="Style23"/>
        <w:tabs>
          <w:tab w:leader="none" w:pos="1231" w:val="left"/>
          <w:tab w:leader="none" w:pos="2628" w:val="left"/>
          <w:tab w:leader="none" w:pos="3583" w:val="left"/>
          <w:tab w:leader="none" w:pos="5014" w:val="left"/>
          <w:tab w:leader="none" w:pos="8350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 32, 49 - Перечень расходных материалов входящих в стоимость контракта, по которым</w:t>
        <w:tab/>
        <w:t>необходимо</w:t>
        <w:tab/>
        <w:t>указать</w:t>
        <w:tab/>
        <w:t>конкретные</w:t>
        <w:tab/>
        <w:t>показатели,</w:t>
        <w:tab/>
        <w:t>соответствующие</w:t>
        <w:tab/>
        <w:t>значениям,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установленным документацией об аукционе: аккумуляторные батареи (АКБ)</w:t>
      </w:r>
    </w:p>
    <w:p>
      <w:pPr>
        <w:pStyle w:val="Style23"/>
        <w:tabs>
          <w:tab w:leader="none" w:pos="1231" w:val="left"/>
          <w:tab w:leader="none" w:pos="2628" w:val="left"/>
          <w:tab w:leader="none" w:pos="3583" w:val="left"/>
          <w:tab w:leader="none" w:pos="5014" w:val="left"/>
          <w:tab w:leader="none" w:pos="8350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 39-42, 57-60 - Расходные материалы, оборудование и приспособления, используемые при проведении технического обслуживания на оборудовании Заказчика по которым</w:t>
        <w:tab/>
        <w:t>необходимо</w:t>
        <w:tab/>
        <w:t>указать</w:t>
        <w:tab/>
        <w:t>конкретные</w:t>
        <w:tab/>
        <w:t>показатели,</w:t>
        <w:tab/>
        <w:t>соответствующие</w:t>
        <w:tab/>
        <w:t>значениям,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установленным документацией об аукционе: сервисный набор (далее ЗИП), выключатель автоматический, контакт дополнительный, провод, кабель тип 1, кабель тип 2, лоток перфорированный, перчатки диэлектрические, коврик диэлектрический резиновый.</w:t>
      </w:r>
    </w:p>
    <w:p>
      <w:pPr>
        <w:pStyle w:val="Style23"/>
        <w:tabs>
          <w:tab w:leader="none" w:pos="1231" w:val="left"/>
          <w:tab w:leader="none" w:pos="2628" w:val="left"/>
          <w:tab w:leader="none" w:pos="3583" w:val="left"/>
          <w:tab w:leader="none" w:pos="5014" w:val="left"/>
          <w:tab w:leader="none" w:pos="9634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 43, 61 - Перечень поставляемых материалов входящих в стоимость контракта по которым</w:t>
        <w:tab/>
        <w:t>необходимо</w:t>
        <w:tab/>
        <w:t>указать</w:t>
        <w:tab/>
        <w:t>конкретные</w:t>
        <w:tab/>
        <w:t>показатели,</w:t>
        <w:tab/>
        <w:t>соответствующие</w:t>
        <w:tab/>
        <w:t>значениям,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установленным документацией об аукционе: выравнитель напряжения.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письму ФАС России от 25.06.2020 №ИА/53616/20 с 01.01.2020 вступили в силу изменения в ФЗ «О контрактной системе», предусматривающий установление заказчиком требования к составу заявки о предоставлении участником исключительно «согласия» при закупке любых работ, услуг, при выполнении (оказании) которых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используется товар, который не передается заказчику. По мнению ФАС России,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 не передается заказчику по товарной накладной или акту передачи;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 не принимается к бухгалтерскому учету заказчика в соответствии с Федеральным законом от 06.12.2011 №402-ФЗ «О бухгалтерском учете»;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Архангельского УФАС России установлено, что вышеперечисленные товары являются используемыми расходными материалами, которые не подлежат самостоятельной и отдельной приемке и без которых невозможно оказать услуги, являющиеся объектом закупки.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разделом 3 «Порядок сдачи и приемки работ» проекта государственного контракта, Заказчик принимает </w:t>
      </w:r>
      <w:r>
        <w:rPr>
          <w:rStyle w:val="CharStyle40"/>
        </w:rPr>
        <w:t>оказанные услуги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проекта контракта следует, что в нем не предусмотрено условий, свидетельствующих о поставке товаров.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 изложенного следует, что указанные товары в разделе 3 «Техническое задание» документации об аукционе не могут считаться поставляемыми при выполнении закупаемых работ, поскольку не предполагают осуществления приемки или постановки на баланс Заказчика.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Заказчиком установлено требование о предоставлении конкретных показателей в составе заявки на участие в аукционе по вышеуказанным товарам не в соответствии с положениями части 3 статьи 66 ФЗ «О контрактной системе».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данном случае требовалось предоставить только согласие на оказание услуг по техническому обслуживанию и восстановлению функционирования оборудования для защиты и контроля параметров снабжения энергией в административном здании УФНС России по Архангельской области и Ненецкому автономному округу и подведомственных инспекциях.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пункт 2 части 1 статьи 64 ФЗ «О контрактной системе».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указанных действиях Заказчика содержатся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 (далее - КоАП РФ).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4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приходит к выводу о том, что данное нарушение Закона ФЗ «О контрактной системе» не повлияло на результаты определения поставщика (подрядчика, исполнителя) поскольку единственный участник закупки допущен до участия в аукционе.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указывает, что в извещении отсутствует информация об источниках финансирования.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статьи 42 ФЗ «О контрактной системе» извещение должно содержать, в том числе, источник финансирования.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подтверждается материалами дела, извещение №0124100003221000035 не содержит информацию об источнике финансирования.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об источнике финансирования указана только в пункте 8 раздела 1 документации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пункт 2 статьи 42 ФЗ «О контрактной системе».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указанных действиях Заказчика содержатся признаки состава административного правонарушения, предусмотренного частью 4.2 статьи 7.30 КоАП РФ.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иных нарушений законодательства РФ о контрактной системе не выявлено.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87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8" w:line="22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5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"МД-КОНСАЛТИНГ" обоснованной.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- Управление Федеральной налоговой службы по Архангельской области и Ненецкому автономному округу, нарушившим пункт 2 части 1 статьи 64, пункт 2 статьи 42 ФЗ «О контрактной системе».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оператору электронной площадки - АО «Сбербанк-АСТ» (далее - Оператор электронной площадки) предписание не выдавать, так как выявленное нарушение не повлияло на итоги электронного аукциона.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59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43"/>
          <w:b/>
          <w:bCs/>
          <w:i/>
          <w:iCs/>
        </w:rPr>
        <w:t>Примечание.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42" w:lineRule="exact"/>
        <w:ind w:left="20" w:right="2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  <w:r>
        <w:br w:type="page"/>
      </w:r>
    </w:p>
    <w:sectPr>
      <w:type w:val="continuous"/>
      <w:pgSz w:w="11906" w:h="16838"/>
      <w:pgMar w:top="891" w:left="1033" w:right="1143" w:bottom="6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lang w:val="en-US" w:eastAsia="en-US" w:bidi="en-US"/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30"/>
    </w:rPr>
  </w:style>
  <w:style w:type="character" w:customStyle="1" w:styleId="CharStyle14">
    <w:name w:val="Заголовок №1 + 10 pt,Не полужирный,Не курсив,Интервал 0 pt"/>
    <w:basedOn w:val="CharStyle13"/>
    <w:rPr>
      <w:lang w:val="ru-RU" w:eastAsia="ru-RU" w:bidi="ru-RU"/>
      <w:b/>
      <w:bCs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Заголовок №1 + Не полужирный,Не курсив,Интервал 0 pt"/>
    <w:basedOn w:val="CharStyle13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6">
    <w:name w:val="Заголовок №1"/>
    <w:basedOn w:val="CharStyle13"/>
    <w:rPr>
      <w:u w:val="single"/>
      <w:w w:val="10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2">
    <w:name w:val="Основной текст (6)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Основной текст + 10 pt,Полужирный"/>
    <w:basedOn w:val="CharStyle24"/>
    <w:rPr>
      <w:lang w:val="en-US" w:eastAsia="en-US" w:bidi="en-US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7">
    <w:name w:val="Основной текст (8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1"/>
      <w:szCs w:val="21"/>
      <w:rFonts w:ascii="Impact" w:eastAsia="Impact" w:hAnsi="Impact" w:cs="Impact"/>
    </w:rPr>
  </w:style>
  <w:style w:type="character" w:customStyle="1" w:styleId="CharStyle28">
    <w:name w:val="Основной текст + Полужирный"/>
    <w:basedOn w:val="CharStyle2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0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33">
    <w:name w:val="Основной текст (7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9)_"/>
    <w:basedOn w:val="DefaultParagraphFont"/>
    <w:link w:val="Style34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6">
    <w:name w:val="Основной текст + Курсив"/>
    <w:basedOn w:val="CharStyle2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8">
    <w:name w:val="Основной текст + 11,5 pt"/>
    <w:basedOn w:val="CharStyle24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9">
    <w:name w:val="Основной текст + Impact,7,5 pt"/>
    <w:basedOn w:val="CharStyle24"/>
    <w:rPr>
      <w:lang w:val="ru-RU" w:eastAsia="ru-RU" w:bidi="ru-RU"/>
      <w:sz w:val="15"/>
      <w:szCs w:val="15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40">
    <w:name w:val="Основной текст"/>
    <w:basedOn w:val="CharStyle2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10)_"/>
    <w:basedOn w:val="DefaultParagraphFont"/>
    <w:link w:val="Style41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43">
    <w:name w:val="Основной текст (10)"/>
    <w:basedOn w:val="CharStyle42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60" w:line="28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240" w:line="31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240" w:after="300"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both"/>
      <w:outlineLvl w:val="0"/>
      <w:spacing w:before="300" w:after="24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30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after="18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after="180" w:line="25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Impact" w:eastAsia="Impact" w:hAnsi="Impact" w:cs="Impact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jc w:val="both"/>
      <w:spacing w:before="180" w:line="264" w:lineRule="exact"/>
      <w:ind w:firstLine="70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1">
    <w:name w:val="Основной текст (10)"/>
    <w:basedOn w:val="Normal"/>
    <w:link w:val="CharStyle42"/>
    <w:pPr>
      <w:widowControl w:val="0"/>
      <w:shd w:val="clear" w:color="auto" w:fill="FFFFFF"/>
      <w:jc w:val="both"/>
      <w:spacing w:before="120" w:after="120" w:line="226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