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3" w:line="260" w:lineRule="exact"/>
        <w:ind w:left="5400" w:right="0" w:firstLine="0"/>
      </w:pPr>
      <w:r>
        <w:rPr>
          <w:lang w:val="ru-RU" w:eastAsia="ru-RU" w:bidi="ru-RU"/>
          <w:w w:val="100"/>
          <w:spacing w:val="0"/>
          <w:color w:val="000000"/>
          <w:position w:val="0"/>
        </w:rPr>
        <w:t>ГКУ «Дирекция ОДОТСЗН г. Москвы»</w:t>
      </w:r>
    </w:p>
    <w:p>
      <w:pPr>
        <w:pStyle w:val="Style5"/>
        <w:widowControl w:val="0"/>
        <w:keepNext w:val="0"/>
        <w:keepLines w:val="0"/>
        <w:shd w:val="clear" w:color="auto" w:fill="auto"/>
        <w:bidi w:val="0"/>
        <w:jc w:val="left"/>
        <w:spacing w:before="0" w:after="349" w:line="322" w:lineRule="exact"/>
        <w:ind w:left="5400" w:right="240" w:firstLine="0"/>
      </w:pPr>
      <w:r>
        <w:rPr>
          <w:lang w:val="ru-RU" w:eastAsia="ru-RU" w:bidi="ru-RU"/>
          <w:w w:val="100"/>
          <w:spacing w:val="0"/>
          <w:color w:val="000000"/>
          <w:position w:val="0"/>
        </w:rPr>
        <w:t xml:space="preserve">ул. Николоямская, д. 49, стр. 3, г. Москва, 109004 </w:t>
      </w:r>
      <w:r>
        <w:fldChar w:fldCharType="begin"/>
      </w:r>
      <w:r>
        <w:rPr>
          <w:color w:val="000000"/>
        </w:rPr>
        <w:instrText> HYPERLINK "mailto:orgzdd@social.mos.ru" </w:instrText>
      </w:r>
      <w:r>
        <w:fldChar w:fldCharType="separate"/>
      </w:r>
      <w:r>
        <w:rPr>
          <w:rStyle w:val="Hyperlink"/>
          <w:lang w:val="en-US" w:eastAsia="en-US" w:bidi="en-US"/>
          <w:w w:val="100"/>
          <w:spacing w:val="0"/>
          <w:position w:val="0"/>
        </w:rPr>
        <w:t>orgzdd@social.mos.ru</w:t>
      </w:r>
      <w:r>
        <w:fldChar w:fldCharType="end"/>
      </w:r>
    </w:p>
    <w:p>
      <w:pPr>
        <w:pStyle w:val="Style5"/>
        <w:widowControl w:val="0"/>
        <w:keepNext w:val="0"/>
        <w:keepLines w:val="0"/>
        <w:shd w:val="clear" w:color="auto" w:fill="auto"/>
        <w:bidi w:val="0"/>
        <w:jc w:val="left"/>
        <w:spacing w:before="0" w:after="303" w:line="260" w:lineRule="exact"/>
        <w:ind w:left="5400" w:right="0" w:firstLine="0"/>
      </w:pPr>
      <w:r>
        <w:rPr>
          <w:lang w:val="ru-RU" w:eastAsia="ru-RU" w:bidi="ru-RU"/>
          <w:w w:val="100"/>
          <w:spacing w:val="0"/>
          <w:color w:val="000000"/>
          <w:position w:val="0"/>
        </w:rPr>
        <w:t>ООО «Интра»</w:t>
      </w:r>
    </w:p>
    <w:p>
      <w:pPr>
        <w:pStyle w:val="Style5"/>
        <w:widowControl w:val="0"/>
        <w:keepNext w:val="0"/>
        <w:keepLines w:val="0"/>
        <w:shd w:val="clear" w:color="auto" w:fill="auto"/>
        <w:bidi w:val="0"/>
        <w:jc w:val="left"/>
        <w:spacing w:before="0" w:after="1711" w:line="322" w:lineRule="exact"/>
        <w:ind w:left="5400" w:right="240" w:firstLine="0"/>
      </w:pPr>
      <w:r>
        <w:rPr>
          <w:lang w:val="ru-RU" w:eastAsia="ru-RU" w:bidi="ru-RU"/>
          <w:w w:val="100"/>
          <w:spacing w:val="0"/>
          <w:color w:val="000000"/>
          <w:position w:val="0"/>
        </w:rPr>
        <w:t xml:space="preserve">ул. Ставровская, д. 4 Б, г. Владимир, 600022, </w:t>
      </w:r>
      <w:r>
        <w:fldChar w:fldCharType="begin"/>
      </w:r>
      <w:r>
        <w:rPr>
          <w:color w:val="000000"/>
        </w:rPr>
        <w:instrText> HYPERLINK "mailto:info@intra.ltd" </w:instrText>
      </w:r>
      <w:r>
        <w:fldChar w:fldCharType="separate"/>
      </w:r>
      <w:r>
        <w:rPr>
          <w:rStyle w:val="Hyperlink"/>
          <w:lang w:val="en-US" w:eastAsia="en-US" w:bidi="en-US"/>
          <w:w w:val="100"/>
          <w:spacing w:val="0"/>
          <w:position w:val="0"/>
        </w:rPr>
        <w:t>info@intra.ltd</w:t>
      </w:r>
      <w:r>
        <w:fldChar w:fldCharType="end"/>
      </w:r>
    </w:p>
    <w:p>
      <w:pPr>
        <w:pStyle w:val="Style7"/>
        <w:tabs>
          <w:tab w:leader="none" w:pos="9052" w:val="left"/>
        </w:tabs>
        <w:widowControl w:val="0"/>
        <w:keepNext w:val="0"/>
        <w:keepLines w:val="0"/>
        <w:shd w:val="clear" w:color="auto" w:fill="auto"/>
        <w:bidi w:val="0"/>
        <w:jc w:val="left"/>
        <w:spacing w:before="0" w:after="0"/>
        <w:ind w:left="100" w:right="20"/>
      </w:pPr>
      <w:r>
        <w:rPr>
          <w:lang w:val="ru-RU" w:eastAsia="ru-RU" w:bidi="ru-RU"/>
          <w:w w:val="100"/>
          <w:spacing w:val="0"/>
          <w:color w:val="000000"/>
          <w:position w:val="0"/>
        </w:rPr>
        <w:t>РЕШЕНИЕ по делу №077/06/106-18697/2021 о нарушении законодательства о контрактной системе 20.10.2021</w:t>
        <w:tab/>
        <w:t>г. Москва</w:t>
      </w:r>
    </w:p>
    <w:p>
      <w:pPr>
        <w:pStyle w:val="Style5"/>
        <w:widowControl w:val="0"/>
        <w:keepNext w:val="0"/>
        <w:keepLines w:val="0"/>
        <w:shd w:val="clear" w:color="auto" w:fill="auto"/>
        <w:bidi w:val="0"/>
        <w:jc w:val="both"/>
        <w:spacing w:before="0" w:after="0" w:line="283" w:lineRule="exact"/>
        <w:ind w:left="10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283" w:lineRule="exact"/>
        <w:ind w:left="10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10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100" w:right="20" w:firstLine="70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278" w:lineRule="exact"/>
        <w:ind w:left="10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widowControl w:val="0"/>
        <w:keepNext w:val="0"/>
        <w:keepLines w:val="0"/>
        <w:shd w:val="clear" w:color="auto" w:fill="auto"/>
        <w:bidi w:val="0"/>
        <w:jc w:val="both"/>
        <w:spacing w:before="0" w:after="0" w:line="278" w:lineRule="exact"/>
        <w:ind w:left="100" w:right="20" w:firstLine="700"/>
      </w:pPr>
      <w:r>
        <w:rPr>
          <w:lang w:val="ru-RU" w:eastAsia="ru-RU" w:bidi="ru-RU"/>
          <w:w w:val="100"/>
          <w:spacing w:val="0"/>
          <w:color w:val="000000"/>
          <w:position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left"/>
        <w:spacing w:before="0" w:after="0" w:line="278" w:lineRule="exact"/>
        <w:ind w:left="100" w:right="20" w:firstLine="700"/>
      </w:pPr>
      <w:r>
        <w:rPr>
          <w:lang w:val="ru-RU" w:eastAsia="ru-RU" w:bidi="ru-RU"/>
          <w:w w:val="100"/>
          <w:spacing w:val="0"/>
          <w:color w:val="000000"/>
          <w:position w:val="0"/>
        </w:rPr>
        <w:t>при участии представителей ГКУ «Дирекция ОДОТСЗН» г. Москвы, в отсутствие представителей ООО «Интра», о времени и порядке заседания Комиссии уведомленных письмом Московского УФАС России от 18.10.2021 ЕИ/63611/21,</w:t>
      </w:r>
    </w:p>
    <w:p>
      <w:pPr>
        <w:pStyle w:val="Style3"/>
        <w:framePr w:w="1685" w:h="394" w:wrap="around" w:vAnchor="text" w:hAnchor="margin" w:x="452" w:y="300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001683654936</w:t>
      </w:r>
    </w:p>
    <w:p>
      <w:pPr>
        <w:pStyle w:val="Style5"/>
        <w:widowControl w:val="0"/>
        <w:keepNext w:val="0"/>
        <w:keepLines w:val="0"/>
        <w:shd w:val="clear" w:color="auto" w:fill="auto"/>
        <w:bidi w:val="0"/>
        <w:jc w:val="both"/>
        <w:spacing w:before="0" w:after="0" w:line="278" w:lineRule="exact"/>
        <w:ind w:left="100" w:right="20" w:firstLine="700"/>
      </w:pPr>
      <w:r>
        <w:rPr>
          <w:lang w:val="ru-RU" w:eastAsia="ru-RU" w:bidi="ru-RU"/>
          <w:w w:val="100"/>
          <w:spacing w:val="0"/>
          <w:color w:val="000000"/>
          <w:position w:val="0"/>
        </w:rPr>
        <w:t>рассмотрев жалобу ООО «Интра» (далее — Заявитель) на действия ГКУ «Дирекция по обеспечению деятельности организаций труда и социальной защиты населения города Москвы» (далее — Заказчик) при проведении открытого конкурса в электронной форме на право заключения государственного контракта на оказание услуг по обеспечению протезами бедра модульными, в том числе при врожденном недоразвитии, лечебно-тренировочными и для купания в 2021 году (Закупка № 0373200041521001135) (далее - конкурс, конкурс в электронной форме)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w:t>
      </w:r>
      <w:r>
        <w:br w:type="page"/>
      </w:r>
    </w:p>
    <w:p>
      <w:pPr>
        <w:pStyle w:val="Style5"/>
        <w:widowControl w:val="0"/>
        <w:keepNext w:val="0"/>
        <w:keepLines w:val="0"/>
        <w:shd w:val="clear" w:color="auto" w:fill="auto"/>
        <w:bidi w:val="0"/>
        <w:jc w:val="both"/>
        <w:spacing w:before="0" w:after="255" w:line="278" w:lineRule="exact"/>
        <w:ind w:left="20" w:right="20" w:firstLine="0"/>
      </w:pPr>
      <w:r>
        <w:rPr>
          <w:lang w:val="ru-RU" w:eastAsia="ru-RU" w:bidi="ru-RU"/>
          <w:w w:val="100"/>
          <w:spacing w:val="0"/>
          <w:color w:val="000000"/>
          <w:position w:val="0"/>
        </w:rPr>
        <w:t>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9"/>
        <w:widowControl w:val="0"/>
        <w:keepNext/>
        <w:keepLines/>
        <w:shd w:val="clear" w:color="auto" w:fill="auto"/>
        <w:bidi w:val="0"/>
        <w:spacing w:before="0" w:after="222"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открытого конкурса в электронной форме.</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письмами Московского УФАС России от 18.10.2021 ЕИ/63611/21.</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Заявитель обжалует установление порядка оценки по показателю «Опыт участника по успешной поставке товаров, выполнению работ, оказанию услуг сопоставимого характера и объема»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нарушение требований законодательства о контрактной системе.</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Согласно п.8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5"/>
        <w:numPr>
          <w:ilvl w:val="0"/>
          <w:numId w:val="1"/>
        </w:numPr>
        <w:widowControl w:val="0"/>
        <w:keepNext w:val="0"/>
        <w:keepLines w:val="0"/>
        <w:shd w:val="clear" w:color="auto" w:fill="auto"/>
        <w:bidi w:val="0"/>
        <w:jc w:val="both"/>
        <w:spacing w:before="0" w:after="0" w:line="278" w:lineRule="exact"/>
        <w:ind w:left="20" w:right="0" w:firstLine="520"/>
      </w:pPr>
      <w:r>
        <w:rPr>
          <w:lang w:val="ru-RU" w:eastAsia="ru-RU" w:bidi="ru-RU"/>
          <w:w w:val="100"/>
          <w:spacing w:val="0"/>
          <w:color w:val="000000"/>
          <w:position w:val="0"/>
        </w:rPr>
        <w:t xml:space="preserve"> цена контракта;</w:t>
      </w:r>
    </w:p>
    <w:p>
      <w:pPr>
        <w:pStyle w:val="Style5"/>
        <w:numPr>
          <w:ilvl w:val="0"/>
          <w:numId w:val="1"/>
        </w:numPr>
        <w:widowControl w:val="0"/>
        <w:keepNext w:val="0"/>
        <w:keepLines w:val="0"/>
        <w:shd w:val="clear" w:color="auto" w:fill="auto"/>
        <w:bidi w:val="0"/>
        <w:jc w:val="both"/>
        <w:spacing w:before="0" w:after="0" w:line="278" w:lineRule="exact"/>
        <w:ind w:left="20" w:right="0" w:firstLine="52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1"/>
        </w:numPr>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5"/>
        <w:numPr>
          <w:ilvl w:val="0"/>
          <w:numId w:val="1"/>
        </w:numPr>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В соответствии с конкурсной документацией оценка заявок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Согласно п.3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Согласно п.10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В соответствии с п.27 Правил показателями нестоимостного критерия оценки «Квалификация участников закупки» могут быть следующие показатели (с учетом особенностей, предусмотренных пунктом 27(1) и 27 (4) Правил):</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б) опыт участника по успешной поставке товара, выполнению работ, оказанию услуг сопоставимого характера и объема;</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5"/>
        <w:widowControl w:val="0"/>
        <w:keepNext w:val="0"/>
        <w:keepLines w:val="0"/>
        <w:shd w:val="clear" w:color="auto" w:fill="auto"/>
        <w:bidi w:val="0"/>
        <w:jc w:val="both"/>
        <w:spacing w:before="0" w:after="0" w:line="278" w:lineRule="exact"/>
        <w:ind w:left="20" w:right="0" w:firstLine="520"/>
      </w:pPr>
      <w:r>
        <w:rPr>
          <w:lang w:val="ru-RU" w:eastAsia="ru-RU" w:bidi="ru-RU"/>
          <w:w w:val="100"/>
          <w:spacing w:val="0"/>
          <w:color w:val="000000"/>
          <w:position w:val="0"/>
        </w:rPr>
        <w:t>г) обеспеченность участника закупки трудовыми ресурсами;</w:t>
      </w:r>
    </w:p>
    <w:p>
      <w:pPr>
        <w:pStyle w:val="Style5"/>
        <w:widowControl w:val="0"/>
        <w:keepNext w:val="0"/>
        <w:keepLines w:val="0"/>
        <w:shd w:val="clear" w:color="auto" w:fill="auto"/>
        <w:bidi w:val="0"/>
        <w:jc w:val="both"/>
        <w:spacing w:before="0" w:after="0" w:line="278" w:lineRule="exact"/>
        <w:ind w:left="20" w:right="0" w:firstLine="520"/>
      </w:pPr>
      <w:r>
        <w:rPr>
          <w:lang w:val="ru-RU" w:eastAsia="ru-RU" w:bidi="ru-RU"/>
          <w:w w:val="100"/>
          <w:spacing w:val="0"/>
          <w:color w:val="000000"/>
          <w:position w:val="0"/>
        </w:rPr>
        <w:t>д) деловая репутация участника закупки.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В соответствии с п.11 Правил по каждому критерию оценки используется 100</w:t>
        <w:softHyphen/>
        <w:t>балльная шкала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 показателей критерия оценки должна составлять 100 процентов.</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5"/>
        <w:numPr>
          <w:ilvl w:val="0"/>
          <w:numId w:val="3"/>
        </w:numPr>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5"/>
        <w:numPr>
          <w:ilvl w:val="0"/>
          <w:numId w:val="3"/>
        </w:numPr>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 xml:space="preserve"> сумму величин значимости показателей критерия оценки в размере 100 процентов;</w:t>
      </w:r>
    </w:p>
    <w:p>
      <w:pPr>
        <w:pStyle w:val="Style5"/>
        <w:numPr>
          <w:ilvl w:val="0"/>
          <w:numId w:val="3"/>
        </w:numPr>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Согласно положениям конкурсной документации по показателю «Опыт участника по успешной поставке товаров, выполнению работ, оказанию услуг сопоставимого характера и объема» нестоимостного критерия оценки установлен следующий порядок оценки: «Коэффициент значимости (КЗ) =0.25. Максимальная оценка по показателю -25.0 баллов. Содержание: Оценивается предложение участника об объемах исполненных участником контрактов (договоров) за последние 3 года, предшествующие дате подачи заявки участником на участие в настоящей закупке, без нарушений сроков и иных нарушений условий контракта (договора) по вине участника (оценивается суммарный объем оказанных услуг сопоставимого характера и объема, исчисляемый в рублях).</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Под услугами сопоставимого характера и объема понимается услуги по обеспечению протезно-ортопедическими изделиями, стоимость которых по каждому контракту (договору) составляет не менее 30 (тридцати) процентов от начальной (максимальной) цены контракта, на право заключить который проводится закупка.</w:t>
      </w:r>
    </w:p>
    <w:p>
      <w:pPr>
        <w:pStyle w:val="Style11"/>
        <w:widowControl w:val="0"/>
        <w:keepNext w:val="0"/>
        <w:keepLines w:val="0"/>
        <w:shd w:val="clear" w:color="auto" w:fill="auto"/>
        <w:bidi w:val="0"/>
        <w:spacing w:before="0" w:after="0"/>
        <w:ind w:left="20" w:right="20"/>
      </w:pPr>
      <w:r>
        <w:rPr>
          <w:lang w:val="ru-RU" w:eastAsia="ru-RU" w:bidi="ru-RU"/>
          <w:w w:val="100"/>
          <w:spacing w:val="0"/>
          <w:color w:val="000000"/>
          <w:position w:val="0"/>
        </w:rPr>
        <w:t>Сведения о наличии опыта участника подтверждаются копиями государственных контрактов (с актами оказанных услуг), заключенных в соответствии с Федеральным законом от 05.04.2013 № 44-ФЗ, гражданско- правовых договоров (с актами оказанных услуг), заключенных в соответствии с Федеральным законом от 18.07.2011 № 223-ФЗ, содержащих сведения о стоимости оказанных услуг.</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соглашениями, являющимися их неотъемлемой частью (должны быть представлены все страницы контрактов (договоров), а также актов оказанных услуг).</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При этом представленные документы должны быть в виде неповторяющихся, полночитаемых копий, на которых видны необходимые сведения, подписи и печати.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 xml:space="preserve">В случае если контракты заключены в электронной форме, опыт может быть подтвержден размещенными на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опыта участника закупки по успешной поставке товара, выполнению работ, оказанию услуг сопоставимого характера и объема», содержащей данные о реестровом номере закупки, номере контракта, дате заключения, предмете, сумме контракта, дате исполнения контракта.</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Рекомендуемая форма «Сводные сведения о наличии опыта участника закупки по успешной поставке товара, выполнению работ, оказанию услуг сопоставимого характера и объема» приведена в Приложении № 1 к настоящим критериям оценки заявок участников закупки.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 xml:space="preserve">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 либо информацией, размещенной на сайте Единой информационной системы в сфере закупок </w:t>
      </w:r>
      <w:r>
        <w:rPr>
          <w:lang w:val="en-US" w:eastAsia="en-US" w:bidi="en-US"/>
          <w:w w:val="100"/>
          <w:spacing w:val="0"/>
          <w:color w:val="000000"/>
          <w:position w:val="0"/>
        </w:rPr>
        <w:t>zakupki.gov.ru.</w:t>
      </w:r>
    </w:p>
    <w:p>
      <w:pPr>
        <w:pStyle w:val="Style5"/>
        <w:widowControl w:val="0"/>
        <w:keepNext w:val="0"/>
        <w:keepLines w:val="0"/>
        <w:shd w:val="clear" w:color="auto" w:fill="auto"/>
        <w:bidi w:val="0"/>
        <w:jc w:val="both"/>
        <w:spacing w:before="0" w:after="0" w:line="278" w:lineRule="exact"/>
        <w:ind w:left="20" w:right="0" w:firstLine="520"/>
      </w:pPr>
      <w:r>
        <w:rPr>
          <w:lang w:val="ru-RU" w:eastAsia="ru-RU" w:bidi="ru-RU"/>
          <w:w w:val="100"/>
          <w:spacing w:val="0"/>
          <w:color w:val="000000"/>
          <w:position w:val="0"/>
        </w:rPr>
        <w:t>Порядок оценки: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 xml:space="preserve">Количество баллов, присуждаемых по показателю </w:t>
      </w:r>
      <w:r>
        <w:rPr>
          <w:lang w:val="en-US" w:eastAsia="en-US" w:bidi="en-US"/>
          <w:w w:val="100"/>
          <w:spacing w:val="0"/>
          <w:color w:val="000000"/>
          <w:position w:val="0"/>
        </w:rPr>
        <w:t xml:space="preserve">(HUEi), </w:t>
      </w:r>
      <w:r>
        <w:rPr>
          <w:lang w:val="ru-RU" w:eastAsia="ru-RU" w:bidi="ru-RU"/>
          <w:w w:val="100"/>
          <w:spacing w:val="0"/>
          <w:color w:val="000000"/>
          <w:position w:val="0"/>
        </w:rPr>
        <w:t>определяется по формуле:</w:t>
      </w:r>
    </w:p>
    <w:p>
      <w:pPr>
        <w:pStyle w:val="Style5"/>
        <w:widowControl w:val="0"/>
        <w:keepNext w:val="0"/>
        <w:keepLines w:val="0"/>
        <w:shd w:val="clear" w:color="auto" w:fill="auto"/>
        <w:bidi w:val="0"/>
        <w:jc w:val="both"/>
        <w:spacing w:before="0" w:after="0" w:line="278" w:lineRule="exact"/>
        <w:ind w:left="20" w:right="0" w:firstLine="520"/>
      </w:pPr>
      <w:r>
        <w:rPr>
          <w:rStyle w:val="CharStyle13"/>
        </w:rPr>
        <w:t>HTTKi</w:t>
      </w:r>
      <w:r>
        <w:rPr>
          <w:lang w:val="en-US" w:eastAsia="en-US" w:bidi="en-US"/>
          <w:w w:val="100"/>
          <w:spacing w:val="0"/>
          <w:color w:val="000000"/>
          <w:position w:val="0"/>
        </w:rPr>
        <w:t xml:space="preserve"> </w:t>
      </w:r>
      <w:r>
        <w:rPr>
          <w:lang w:val="ru-RU" w:eastAsia="ru-RU" w:bidi="ru-RU"/>
          <w:w w:val="100"/>
          <w:spacing w:val="0"/>
          <w:color w:val="000000"/>
          <w:position w:val="0"/>
        </w:rPr>
        <w:t xml:space="preserve">= КЗ х 100 х (К / </w:t>
      </w:r>
      <w:r>
        <w:rPr>
          <w:lang w:val="en-US" w:eastAsia="en-US" w:bidi="en-US"/>
          <w:w w:val="100"/>
          <w:spacing w:val="0"/>
          <w:color w:val="000000"/>
          <w:position w:val="0"/>
        </w:rPr>
        <w:t>Rmax),</w:t>
      </w:r>
    </w:p>
    <w:p>
      <w:pPr>
        <w:pStyle w:val="Style5"/>
        <w:widowControl w:val="0"/>
        <w:keepNext w:val="0"/>
        <w:keepLines w:val="0"/>
        <w:shd w:val="clear" w:color="auto" w:fill="auto"/>
        <w:bidi w:val="0"/>
        <w:jc w:val="both"/>
        <w:spacing w:before="0" w:after="0" w:line="278" w:lineRule="exact"/>
        <w:ind w:left="20" w:right="0" w:firstLine="520"/>
      </w:pPr>
      <w:r>
        <w:rPr>
          <w:lang w:val="ru-RU" w:eastAsia="ru-RU" w:bidi="ru-RU"/>
          <w:w w:val="100"/>
          <w:spacing w:val="0"/>
          <w:color w:val="000000"/>
          <w:position w:val="0"/>
        </w:rPr>
        <w:t>где:</w:t>
      </w:r>
    </w:p>
    <w:p>
      <w:pPr>
        <w:pStyle w:val="Style5"/>
        <w:widowControl w:val="0"/>
        <w:keepNext w:val="0"/>
        <w:keepLines w:val="0"/>
        <w:shd w:val="clear" w:color="auto" w:fill="auto"/>
        <w:bidi w:val="0"/>
        <w:jc w:val="both"/>
        <w:spacing w:before="0" w:after="0" w:line="278" w:lineRule="exact"/>
        <w:ind w:left="20" w:right="0" w:firstLine="52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К - предложение участника закупки по показателю «Опыт участника по успешному оказанию услуг сопоставимого характера и объема» (суммарный объем оказанных услуг сопоставимого характера, исчисляемый в рублях), соответствующих вышеуказанным требованиям), заявка (предложение) которого оценивается;</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Кmax - максимальное предложение по показателю «Опыт участника по успешному оказанию услуг сопоставимого характера и объема» (суммарный объем оказанных услуг сопоставимого характера, исчисляемый в рублях), соответствующих вышеуказанным требованиям) из предложений по показателю критерия оценки, сделанных участниками закупки».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По мнению Заявителя, в конкурсной документации по вышеуказанному показателю неправомерно установлены положения порядка оценки в части подтверждения сведений о наличии опыта посредством представления исключительно копий контрактов и договоров в рамках Закона о контрактной системе и Федерального закона от 18.07.2011 № 223-ФЗ «О закупках товаров, работ, услуг отдельными видами юридических лиц», поскольку это не регламентировано действующим законодательством.</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В силу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На заседании Комиссии Управления представитель Заказчика пояснил, что по информации, содержащейся в реестре контрактов и договоров, заключенных в рамках Закона о контрактной системе и Федерального закона от 18.07.2011 № 223- ФЗ «О закупках товаров, работ, услуг отдельными видами юридических лиц», Заказчик может проверить достоверность представленной информации по исполненным контрактам без нарушений сроков и иных нарушений условий контракта по вине участника в единой информационной системе в сфере закупок. При этом, с учетом п.6 ч.6 ст.54.4 Закона о контрактной системе, отсутствие этих документов не является основанием для признания заявки на участие в конкурсе в электронной форме несоответствующей требованиям документации о таком конкурсе.</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вместе с тем в заседании Комиссии Управления Заявитель участие не принимал, при этом в жалобе не представлены документы и сведения, подтверждающие обоснованность доводов жалобы и свидетельствующие о том, что положения порядка оценки показателя «Опыт участника конкурса по успешному оказанию услуг сопоставимого характера и объема» нестоимостного критерия оценки установлены в нарушение Закона о контрактной системе и влекут за собой ограничение количества участников закупки.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На основании вышеизложенного, Комиссия Управления приходит к выводу о том, что доводы жалобы Заявителя не нашли своего подтверждения и являются необоснованными.</w:t>
      </w:r>
    </w:p>
    <w:p>
      <w:pPr>
        <w:pStyle w:val="Style5"/>
        <w:widowControl w:val="0"/>
        <w:keepNext w:val="0"/>
        <w:keepLines w:val="0"/>
        <w:shd w:val="clear" w:color="auto" w:fill="auto"/>
        <w:bidi w:val="0"/>
        <w:jc w:val="both"/>
        <w:spacing w:before="0" w:after="0" w:line="278" w:lineRule="exact"/>
        <w:ind w:left="20" w:right="20" w:firstLine="5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spacing w:before="0" w:after="210"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jc w:val="both"/>
        <w:spacing w:before="0" w:after="0" w:line="288" w:lineRule="exact"/>
        <w:ind w:left="20" w:right="20" w:firstLine="600"/>
      </w:pPr>
      <w:r>
        <w:rPr>
          <w:lang w:val="ru-RU" w:eastAsia="ru-RU" w:bidi="ru-RU"/>
          <w:w w:val="100"/>
          <w:spacing w:val="0"/>
          <w:color w:val="000000"/>
          <w:position w:val="0"/>
        </w:rPr>
        <w:t xml:space="preserve"> Признать жалобу ООО «Интра» на действия ГКУ «Дирекция ОДОТСЗН» г. Москвы необоснованной.</w:t>
      </w:r>
    </w:p>
    <w:p>
      <w:pPr>
        <w:pStyle w:val="Style5"/>
        <w:numPr>
          <w:ilvl w:val="0"/>
          <w:numId w:val="5"/>
        </w:numPr>
        <w:widowControl w:val="0"/>
        <w:keepNext w:val="0"/>
        <w:keepLines w:val="0"/>
        <w:shd w:val="clear" w:color="auto" w:fill="auto"/>
        <w:bidi w:val="0"/>
        <w:jc w:val="both"/>
        <w:spacing w:before="0" w:after="240" w:line="283" w:lineRule="exact"/>
        <w:ind w:left="20" w:right="20" w:firstLine="60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18.10.2021 ЕИ/63611/21 .</w:t>
      </w:r>
    </w:p>
    <w:p>
      <w:pPr>
        <w:pStyle w:val="Style5"/>
        <w:widowControl w:val="0"/>
        <w:keepNext w:val="0"/>
        <w:keepLines w:val="0"/>
        <w:shd w:val="clear" w:color="auto" w:fill="auto"/>
        <w:bidi w:val="0"/>
        <w:jc w:val="both"/>
        <w:spacing w:before="0" w:after="0" w:line="283" w:lineRule="exact"/>
        <w:ind w:left="20" w:right="20" w:firstLine="6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widowControl w:val="0"/>
        <w:keepNext w:val="0"/>
        <w:keepLines w:val="0"/>
        <w:shd w:val="clear" w:color="auto" w:fill="auto"/>
        <w:bidi w:val="0"/>
        <w:jc w:val="both"/>
        <w:spacing w:before="0" w:after="0" w:line="307" w:lineRule="exact"/>
        <w:ind w:left="20" w:right="20" w:firstLine="6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121" w:val="right"/>
          <w:tab w:leader="none" w:pos="10189"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10189"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А.А.Кутейников</w:t>
      </w:r>
    </w:p>
    <w:p>
      <w:pPr>
        <w:pStyle w:val="Style5"/>
        <w:widowControl w:val="0"/>
        <w:keepNext w:val="0"/>
        <w:keepLines w:val="0"/>
        <w:shd w:val="clear" w:color="auto" w:fill="auto"/>
        <w:bidi w:val="0"/>
        <w:jc w:val="right"/>
        <w:spacing w:before="0" w:after="2591" w:line="643" w:lineRule="exact"/>
        <w:ind w:left="0" w:right="20" w:firstLine="0"/>
      </w:pPr>
      <w:r>
        <w:rPr>
          <w:lang w:val="ru-RU" w:eastAsia="ru-RU" w:bidi="ru-RU"/>
          <w:w w:val="100"/>
          <w:spacing w:val="0"/>
          <w:color w:val="000000"/>
          <w:position w:val="0"/>
        </w:rPr>
        <w:t>Е.О. Сгибнев</w:t>
      </w:r>
    </w:p>
    <w:p>
      <w:pPr>
        <w:pStyle w:val="Style14"/>
        <w:widowControl w:val="0"/>
        <w:keepNext w:val="0"/>
        <w:keepLines w:val="0"/>
        <w:shd w:val="clear" w:color="auto" w:fill="auto"/>
        <w:bidi w:val="0"/>
        <w:jc w:val="left"/>
        <w:spacing w:before="0" w:after="0"/>
        <w:ind w:left="20" w:right="820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3" w:left="810" w:right="786"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val="0"/>
      <w:bCs w:val="0"/>
      <w:i/>
      <w:iCs/>
      <w:u w:val="none"/>
      <w:strike w:val="0"/>
      <w:smallCaps w:val="0"/>
      <w:sz w:val="26"/>
      <w:szCs w:val="26"/>
      <w:rFonts w:ascii="Times New Roman" w:eastAsia="Times New Roman" w:hAnsi="Times New Roman" w:cs="Times New Roman"/>
    </w:rPr>
  </w:style>
  <w:style w:type="character" w:customStyle="1" w:styleId="CharStyle13">
    <w:name w:val="Основной текст + Интервал 1 pt"/>
    <w:basedOn w:val="CharStyle6"/>
    <w:rPr>
      <w:lang w:val="en-US" w:eastAsia="en-US" w:bidi="en-US"/>
      <w:w w:val="100"/>
      <w:spacing w:val="30"/>
      <w:color w:val="000000"/>
      <w:position w:val="0"/>
    </w:rPr>
  </w:style>
  <w:style w:type="character" w:customStyle="1" w:styleId="CharStyle15">
    <w:name w:val="Основной текст (4)_"/>
    <w:basedOn w:val="DefaultParagraphFont"/>
    <w:link w:val="Style14"/>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680" w:line="283"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240" w:after="30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line="278" w:lineRule="exact"/>
      <w:ind w:firstLine="520"/>
    </w:pPr>
    <w:rPr>
      <w:b w:val="0"/>
      <w:bCs w:val="0"/>
      <w:i/>
      <w:iCs/>
      <w:u w:val="none"/>
      <w:strike w:val="0"/>
      <w:smallCaps w:val="0"/>
      <w:sz w:val="26"/>
      <w:szCs w:val="26"/>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before="228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