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г. Москвы «Жилищник района Филевский парк»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3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Большая Филевская, д. 17, стр. 2, г. Москва, 121309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ЗАО»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Коштоянца, д. 12, г. Москва, 119454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«РМА»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6" w:line="317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проезд Электродный, д. 6, стр. 1, г. Москва, 111123</w:t>
      </w:r>
    </w:p>
    <w:p>
      <w:pPr>
        <w:pStyle w:val="Style7"/>
        <w:tabs>
          <w:tab w:leader="none" w:pos="9002" w:val="center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077/06/106-18663/2021 о нарушении законодательства о контрактной системе 20.10.2021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Внуково»: Попова А.А.,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«РМА»: Кожанова Д.А.,</w:t>
      </w:r>
    </w:p>
    <w:p>
      <w:pPr>
        <w:pStyle w:val="Style3"/>
        <w:framePr w:w="1685" w:h="394" w:wrap="around" w:vAnchor="text" w:hAnchor="margin" w:x="385" w:y="26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000181315009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«РМА» (далее — Заявитель) на действия ГБУ г. Москвы «Жилищник района Филевский парк» (далее — Заказчик) при проведении открытого конкурса в электронной форме на право заключения государственного контракта на оказание услуг по проведению ежедневных предрейсовых и послерейсовых медицинских осмотров водителей коммунальной техники (Закупка № 0373200014221001354) (далее - аукцион) в соответствии с Федеральным законом от 05.04.2013 №44-ФЗ «О контрактной системе в сфере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Московское </w:t>
      </w:r>
      <w:r>
        <w:rPr>
          <w:rStyle w:val="CharStyle11"/>
        </w:rPr>
        <w:t>УФАС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России поступила жалоба Заявителя на действия Заказчика при проведении открытого аукциона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Заказчиком представлены документы и сведения, запрашиваемые письмом Московского </w:t>
      </w:r>
      <w:r>
        <w:rPr>
          <w:rStyle w:val="CharStyle11"/>
        </w:rPr>
        <w:t>УФАС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России исх. №ЕИ/63451/21 от 15.10.2021.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tabs>
          <w:tab w:leader="none" w:pos="492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неправомерные действия Заказчика, выразившиеся в неустановлении в техническом задании требования об обладании исполнителем лицензией на осуществление медицинской деятельности по: медицинским осмотрам (предсменным, предрейсовым, послерейсовым, послесменным); при проведении медицинских освидетельствований:</w:t>
        <w:tab/>
        <w:t>медицинскому освидетельствованию 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состояние опьянения (алкогольного, наркотического или иного токсического).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а также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5"/>
        <w:numPr>
          <w:ilvl w:val="0"/>
          <w:numId w:val="1"/>
        </w:numPr>
        <w:tabs>
          <w:tab w:leader="none" w:pos="10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документацией на указанные машины и оборудование;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ч.2 ст.33 Закона о контрактной системе документация о закупке в соответствии с требованиями, указанными в ч.1 ст.33 Закона о контрактной системе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п.46 ч.1 ст.12 Федерального закона от 04.05.2011 №99-ФЗ «О лицензировании отдельных видов деятельности»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подлежит лицензированию.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лицензирования медицинской деятельности определяется постановлением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(далее — Постановление №852).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п.4 Постановления №852 медицинскую деятельность составляют работы (услуги) по перечню согласно приложению, которые выполняются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</w:t>
        <w:softHyphen/>
        <w:t>курортном лечении, при трансплантации (пересадке) органов и (или) тканей, обращении донорской крови и (или) ее компонентов в медицинских целях,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Министерством здравоохранения Российской Федерации утверждается классификатор работ (услуг), предусмотренных приложением к настоящему Положению. Предметом указанного классификатора является соотнесение видов работ (услуг) с видами и условиями оказания медицинской помощи, установленными соответствующими порядками оказания медицинской помощи, положениями об организации оказания медицинской помощи по видам, правилами проведения лабораторных, инструментальных, патолого-анатомических и иных видов диагностических исследований, порядком использования вспомогательных репродуктивных технологий, порядками проведения медицинских экспертиз, медицинских осмотров, медицинского освидетельствования, порядками организации медицинской реабилитации и санаторно-курортного лечения, утвержденными в соответствии с Федеральным законом «Об основах охраны здоровья граждан в Российской Федерации». Классификатор утверждается исключительно в целях его применения при оформлении лицензий и не устанавливает обязательных требований.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требование о соответствии оказываемых услуг нормам Постановления №852 установлено в п.7.6 Технического задания.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п.3.1 Технического задания указан следующий состав медицинских осмотров: «сбор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</w:r>
    </w:p>
    <w:p>
      <w:pPr>
        <w:pStyle w:val="Style5"/>
        <w:tabs>
          <w:tab w:leader="none" w:pos="45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</w:t>
        <w:tab/>
        <w:t>количественного определения алкоголя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выдыхаемом воздухе; 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П.16.1 Информационной карты также установлено, что исполнитель должен иметь действующую лицензию на медицинскую деятельность в соответствии с Федеральным законом от 04.05.2011 №99-ФЗ «О лицензировании отдельных видов деятельности». В состав разрешенной деятельности должны входить: медицинский осмотр (предрейсовый, послерейсовый).</w:t>
      </w:r>
    </w:p>
    <w:p>
      <w:pPr>
        <w:pStyle w:val="Style5"/>
        <w:tabs>
          <w:tab w:leader="none" w:pos="47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Технического задания исполнитель оказывает услуги по проведению предрейсовых и послерейсовых медицинских осмотров (далее - услуги) в соответствии с требованиями действующих нормативных правовых актов, указанных в пп. 7.1 - 7.12 Технического задания, в том числе Постановление Правительства РФ от 01.06.2021</w:t>
        <w:tab/>
        <w:t>№852 «О лицензировании медицинской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Федерации», Приказ Минздрава России от 15.12.2014 №835н «Об утверждении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Порядка проведения предсменных, предрейсовых и послесменных, послерейсовых медицинских осмотров».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системе,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согласившись с доводом жалобы, представитель Заказчика пояснил, что из вышеуказанных положений аукционной документации представляется возможным однозначно определить вид оказываемых медицинских услуг, подлежащих лицензированию.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п.8 приказа Минздрава России от 15.12.2014 №835н «Об утверждении Порядка проведения предсменных, предрейсовых и послесменных, послерейсовых медицинских осмотров» (далее — Приказ №835н) предсменные, предрейсовые и послесменные, послерейсовые медицинские осмотры проводятся медицинскими работниками, имеющими высшее и (или) среднее профессиональное образование, медицинской организацией или иной организацией, осуществляющей медицинскую деятельность (в том числе медицинским работником, состоящим в штате работодателя) (далее - медицинская организация) при наличии лицензии на осуществление медицинской деятельности, предусматривающей выполнение работ (услуг) по медицинским осмотрам (предрейсовым, послерейсовым), медицинским осмотрам (предсменным, послесменным).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п.10 Приказа №835н отражено, что предсменные, предрейсовые и послесменные, послерейсовые медицинские осмотры проводятся в следующем объеме: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количественного определения алкоголя в выдыхаемом воздухе;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объемы и виды услуг, отраженные в п.3.1 Технического задания, оказываются в рамках медицинского осмотра (предсменным, предрейсовым, послерейсовым, послесменным).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Представителем Заказчика также пояснено, что в штате Заказчика содержатся сотрудники, выполняющие обязанности водителей, ввиду чего в рамках закупочной процедуры осуществляется предрейсовые и послерейсовые осмотры таких водителей. Предсменные и послесменные осмотры относятся к лицам, заступающие и уходящие со смены, что не является рабочим распорядком персонала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ч.9 ст.105 Закона о контрактной системе к жалобе прикладываются документы, подтверждающие ее обоснованность. Вместе с тем на заседании Комиссии Управления Заявителем не представлено документов и сведений, подтверждающих обоснованность данного довода жалобы и нарушении Заказчиком норм Закона о контрактной системе при формировании аукционной документации в оспариваемой части.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0" w:right="8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«РМА» на действия ГБУ г. Москвы «Жилищник района Филевский парк» необоснованной.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</w:t>
      </w:r>
      <w:r>
        <w:rPr>
          <w:rStyle w:val="CharStyle11"/>
        </w:rPr>
        <w:t>УФАС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России исх. №ЕИ/63451/21 от 15.10.2021.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10145" w:val="right"/>
          <w:tab w:leader="none" w:pos="101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7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9209" w:val="right"/>
          <w:tab w:leader="none" w:pos="101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7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Э.З.</w:t>
        <w:tab/>
        <w:t>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4478" w:line="67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6" w:right="822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0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414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