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43" w:line="260" w:lineRule="exact"/>
        <w:ind w:left="1160" w:right="0" w:firstLine="0"/>
      </w:pPr>
      <w:r>
        <w:rPr>
          <w:lang w:val="ru-RU" w:eastAsia="ru-RU" w:bidi="ru-RU"/>
          <w:w w:val="100"/>
          <w:spacing w:val="0"/>
          <w:color w:val="000000"/>
          <w:position w:val="0"/>
        </w:rPr>
        <w:t>ФГБОУ ВО «МГТУ им. Н.Э. Баумана»</w:t>
      </w:r>
    </w:p>
    <w:p>
      <w:pPr>
        <w:pStyle w:val="Style5"/>
        <w:widowControl w:val="0"/>
        <w:keepNext w:val="0"/>
        <w:keepLines w:val="0"/>
        <w:shd w:val="clear" w:color="auto" w:fill="auto"/>
        <w:bidi w:val="0"/>
        <w:spacing w:before="0" w:after="0" w:line="322" w:lineRule="exact"/>
        <w:ind w:left="1160" w:right="0" w:firstLine="0"/>
      </w:pPr>
      <w:r>
        <w:rPr>
          <w:lang w:val="ru-RU" w:eastAsia="ru-RU" w:bidi="ru-RU"/>
          <w:w w:val="100"/>
          <w:spacing w:val="0"/>
          <w:color w:val="000000"/>
          <w:position w:val="0"/>
        </w:rPr>
        <w:t>ул. 2-я Бауманская, д. 5, стр. 1,</w:t>
      </w:r>
    </w:p>
    <w:p>
      <w:pPr>
        <w:pStyle w:val="Style5"/>
        <w:tabs>
          <w:tab w:leader="none" w:pos="1484" w:val="left"/>
        </w:tabs>
        <w:widowControl w:val="0"/>
        <w:keepNext w:val="0"/>
        <w:keepLines w:val="0"/>
        <w:shd w:val="clear" w:color="auto" w:fill="auto"/>
        <w:bidi w:val="0"/>
        <w:spacing w:before="0" w:after="349" w:line="322" w:lineRule="exact"/>
        <w:ind w:left="1160" w:right="0" w:firstLine="0"/>
      </w:pPr>
      <w:r>
        <w:rPr>
          <w:lang w:val="ru-RU" w:eastAsia="ru-RU" w:bidi="ru-RU"/>
          <w:w w:val="100"/>
          <w:spacing w:val="0"/>
          <w:color w:val="000000"/>
          <w:position w:val="0"/>
        </w:rPr>
        <w:t>г.</w:t>
        <w:tab/>
        <w:t>Москва, 105005</w:t>
      </w:r>
    </w:p>
    <w:p>
      <w:pPr>
        <w:pStyle w:val="Style5"/>
        <w:widowControl w:val="0"/>
        <w:keepNext w:val="0"/>
        <w:keepLines w:val="0"/>
        <w:shd w:val="clear" w:color="auto" w:fill="auto"/>
        <w:bidi w:val="0"/>
        <w:spacing w:before="0" w:after="252" w:line="260" w:lineRule="exact"/>
        <w:ind w:left="1160" w:right="0" w:firstLine="0"/>
      </w:pPr>
      <w:r>
        <w:rPr>
          <w:lang w:val="ru-RU" w:eastAsia="ru-RU" w:bidi="ru-RU"/>
          <w:w w:val="100"/>
          <w:spacing w:val="0"/>
          <w:color w:val="000000"/>
          <w:position w:val="0"/>
        </w:rPr>
        <w:t>ИП Меньшиков Р.А.</w:t>
      </w:r>
    </w:p>
    <w:p>
      <w:pPr>
        <w:pStyle w:val="Style5"/>
        <w:widowControl w:val="0"/>
        <w:keepNext w:val="0"/>
        <w:keepLines w:val="0"/>
        <w:shd w:val="clear" w:color="auto" w:fill="auto"/>
        <w:bidi w:val="0"/>
        <w:spacing w:before="0" w:after="2276" w:line="317" w:lineRule="exact"/>
        <w:ind w:left="1160" w:right="20" w:firstLine="0"/>
      </w:pPr>
      <w:r>
        <w:rPr>
          <w:lang w:val="ru-RU" w:eastAsia="ru-RU" w:bidi="ru-RU"/>
          <w:w w:val="100"/>
          <w:spacing w:val="0"/>
          <w:color w:val="000000"/>
          <w:position w:val="0"/>
        </w:rPr>
        <w:t>ул. Достоевского, д. 12, г. Артемовский, 623783</w:t>
      </w:r>
    </w:p>
    <w:p>
      <w:pPr>
        <w:pStyle w:val="Style7"/>
        <w:tabs>
          <w:tab w:leader="none" w:pos="8646" w:val="left"/>
        </w:tabs>
        <w:widowControl w:val="0"/>
        <w:keepNext w:val="0"/>
        <w:keepLines w:val="0"/>
        <w:shd w:val="clear" w:color="auto" w:fill="auto"/>
        <w:bidi w:val="0"/>
        <w:jc w:val="left"/>
        <w:spacing w:before="0" w:after="0"/>
        <w:ind w:left="40" w:right="620" w:firstLine="4360"/>
      </w:pPr>
      <w:r>
        <w:rPr>
          <w:lang w:val="ru-RU" w:eastAsia="ru-RU" w:bidi="ru-RU"/>
          <w:w w:val="100"/>
          <w:spacing w:val="0"/>
          <w:color w:val="000000"/>
          <w:position w:val="0"/>
        </w:rPr>
        <w:t>РЕШЕНИЕ по делу № 077/06/106-18668/2021 о нарушении законодательства о контрактной системе 20.10.2021</w:t>
        <w:tab/>
        <w:t>Москва</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tabs>
          <w:tab w:leader="none" w:pos="1091" w:val="left"/>
          <w:tab w:leader="none" w:pos="2786" w:val="left"/>
          <w:tab w:leader="none" w:pos="5757" w:val="left"/>
        </w:tabs>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w:t>
        <w:tab/>
        <w:t>в целях</w:t>
        <w:tab/>
        <w:t>исполнения Указа</w:t>
        <w:tab/>
        <w:t>Мэра Москвы от 25.09.2020</w:t>
      </w:r>
    </w:p>
    <w:p>
      <w:pPr>
        <w:pStyle w:val="Style5"/>
        <w:tabs>
          <w:tab w:leader="none" w:pos="597"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w:t>
        <w:tab/>
        <w:t>92-УМ «О внесении изменений в правовые акты города Москвы»</w:t>
      </w:r>
    </w:p>
    <w:p>
      <w:pPr>
        <w:pStyle w:val="Style5"/>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и предупреждения распространения в городе Москве инфекции, вызванной коронавирусом 201</w:t>
      </w:r>
      <w:r>
        <w:rPr>
          <w:lang w:val="en-US" w:eastAsia="en-US" w:bidi="en-US"/>
          <w:w w:val="100"/>
          <w:spacing w:val="0"/>
          <w:color w:val="000000"/>
          <w:position w:val="0"/>
        </w:rPr>
        <w:t>9-nCoV.</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при участии посредством видеоконференцсвязи представителя ФГБОУ ВО «МГТУ им. Н.Э. Баумана»: Бондалетова В.Д. (дов. № 1205 от 31.12.2021),</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 отсутствие представителей ИП Меньшиков Р.А., уведомленных надлежащим образом о времени и порядке заседания письмом Московского УФАС России №ЕИ/63474/21 от 15.10.2021,</w:t>
      </w:r>
    </w:p>
    <w:p>
      <w:pPr>
        <w:pStyle w:val="Style3"/>
        <w:framePr w:w="1685" w:h="394" w:wrap="around" w:vAnchor="text" w:hAnchor="margin" w:x="385" w:y="1302"/>
        <w:widowControl w:val="0"/>
        <w:keepNext w:val="0"/>
        <w:keepLines w:val="0"/>
        <w:shd w:val="clear" w:color="auto" w:fill="auto"/>
        <w:bidi w:val="0"/>
        <w:jc w:val="left"/>
        <w:spacing w:before="0" w:after="0" w:line="240" w:lineRule="auto"/>
        <w:ind w:left="0" w:right="0" w:firstLine="0"/>
      </w:pPr>
      <w:r>
        <w:rPr>
          <w:w w:val="100"/>
          <w:spacing w:val="0"/>
          <w:color w:val="000000"/>
          <w:position w:val="0"/>
        </w:rPr>
        <w:t>001540453574</w:t>
      </w:r>
    </w:p>
    <w:p>
      <w:pPr>
        <w:pStyle w:val="Style5"/>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рассмотрев жалобу ИП Меньшиков Р.А. (далее — Заявитель) действия ФГБОУ ВО «МГТУ им. Н.Э. Баумана» (далее — Заказчик) при проведении открытого конкурса в электронной форме на право заключения государственного контракта на</w:t>
      </w:r>
      <w:r>
        <w:br w:type="page"/>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выполнение капитального ремонта фасада здания: устройство вентилируемого фасада здания стилобата общежития по адресу: г. Москва, переулок Госпитальный,</w:t>
      </w:r>
    </w:p>
    <w:p>
      <w:pPr>
        <w:pStyle w:val="Style5"/>
        <w:tabs>
          <w:tab w:leader="none" w:pos="347" w:val="left"/>
        </w:tabs>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д.</w:t>
        <w:tab/>
        <w:t>4-6, стр.3 (Закупка № 0373100076521000338)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9"/>
        <w:widowControl w:val="0"/>
        <w:keepNext/>
        <w:keepLines/>
        <w:shd w:val="clear" w:color="auto" w:fill="auto"/>
        <w:bidi w:val="0"/>
        <w:spacing w:before="0" w:after="307"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открытого конкурса в электронной форме.</w:t>
      </w:r>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№ЕИ/63474/21 от 15.10.2021 документы и сведения.</w:t>
      </w:r>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Согласно доводам жалобы конкурсная документация в нарушение положений Закона о контрактной системе не содержит локальные сметные расчеты, что по мнению Заявителя приводит к невозможности формирования участником закупки предложения по исполнению контракта.</w:t>
      </w:r>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п.1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5"/>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п.8 ч.1 ст.33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ч.16 и 16.1 ст.34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п.8 ч.1 ст.33 Закона о контрактной системе является надлежащим исполнением требований п.1-3 ч.1 ст.33 Закона о контрактной системе.</w:t>
      </w:r>
    </w:p>
    <w:p>
      <w:pPr>
        <w:pStyle w:val="Style5"/>
        <w:tabs>
          <w:tab w:leader="none" w:pos="10182" w:val="righ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соответствии с ч.12.2 ст.48 Градостроительного кодекса Российской Федерации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ч.1</w:t>
        <w:tab/>
        <w:t>ст.8.3</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Градостроительного кодекса Российской Федерации,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w:t>
        <w:softHyphen/>
        <w:t>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ч.12.2 ст.48 Градостроительного кодекса Российской Федерации.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Вместе с этим в силу ч.7 ст.110.2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п.29 прприказа Министерства строительства и жилищно</w:t>
        <w:softHyphen/>
        <w:t>коммунального хозяйства Российской Федерации от 23.12.2019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№841/пр)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П.30 Приказа №841/пр установлено, что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(при наличии).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проект сметы представлен в составе конкурсной документации, кроме того в составе конкурсной документации также представлена проектная документация содержащая в своем составе ведомость работ, что в совокупности позволяет участникам закупки в полном объеме определить требуемые к выполнению работы, их объемы, а также сформировать ценовое предложение.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заседание Комиссии Управления Заявитель не явился, также в составе жалобы Заявителем, не представлено документов свидетельствующих о невозможности подачи заявки на участие в конкурсе, об ограничении количества участников закупки, таким образом, Заявителем не представлено документов и сведений, подтверждающих обоснованность вышеуказанных доводов жалобы, а также свидетельствующих о нарушении Заказчиком норм Закона о контрактной системе. Ввиду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Кроме того Комиссия Управления отмечает, что согласно протоколу подведения итогов открытого конкурса в электронной форме от 19.10.2021 №ППИ1 на участие в конкурсе было подано две заявки, обе заявки признаны соответствующими требованиям конкурсной документации, что также свидетельствует об отсутствии ограничений количества участников закупки.</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Таким образом, довод жалобы Заявителя не основан на фактическом содержании конкурсной документации, не нашел своего подтверждения и является необоснованным.</w:t>
      </w:r>
    </w:p>
    <w:p>
      <w:pPr>
        <w:pStyle w:val="Style5"/>
        <w:widowControl w:val="0"/>
        <w:keepNext w:val="0"/>
        <w:keepLines w:val="0"/>
        <w:shd w:val="clear" w:color="auto" w:fill="auto"/>
        <w:bidi w:val="0"/>
        <w:spacing w:before="0" w:after="0" w:line="322" w:lineRule="exact"/>
        <w:ind w:left="20" w:right="20" w:firstLine="720"/>
        <w:sectPr>
          <w:footnotePr>
            <w:pos w:val="pageBottom"/>
            <w:numFmt w:val="decimal"/>
            <w:numRestart w:val="continuous"/>
          </w:footnotePr>
          <w:type w:val="continuous"/>
          <w:pgSz w:w="11906" w:h="16838"/>
          <w:pgMar w:top="1394" w:left="846" w:right="822" w:bottom="75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7"/>
        <w:widowControl w:val="0"/>
        <w:keepNext w:val="0"/>
        <w:keepLines w:val="0"/>
        <w:shd w:val="clear" w:color="auto" w:fill="auto"/>
        <w:bidi w:val="0"/>
        <w:jc w:val="center"/>
        <w:spacing w:before="0" w:after="299" w:line="260" w:lineRule="exact"/>
        <w:ind w:left="20" w:right="0" w:firstLine="0"/>
      </w:pPr>
      <w:r>
        <w:rPr>
          <w:lang w:val="ru-RU" w:eastAsia="ru-RU" w:bidi="ru-RU"/>
          <w:w w:val="100"/>
          <w:spacing w:val="0"/>
          <w:color w:val="000000"/>
          <w:position w:val="0"/>
        </w:rPr>
        <w:t>Р Е Ш И Л А:</w:t>
      </w:r>
    </w:p>
    <w:p>
      <w:pPr>
        <w:pStyle w:val="Style5"/>
        <w:numPr>
          <w:ilvl w:val="0"/>
          <w:numId w:val="1"/>
        </w:numPr>
        <w:widowControl w:val="0"/>
        <w:keepNext w:val="0"/>
        <w:keepLines w:val="0"/>
        <w:shd w:val="clear" w:color="auto" w:fill="auto"/>
        <w:bidi w:val="0"/>
        <w:jc w:val="left"/>
        <w:spacing w:before="0" w:after="0" w:line="326" w:lineRule="exact"/>
        <w:ind w:left="0" w:right="20" w:firstLine="720"/>
      </w:pPr>
      <w:r>
        <w:rPr>
          <w:lang w:val="ru-RU" w:eastAsia="ru-RU" w:bidi="ru-RU"/>
          <w:w w:val="100"/>
          <w:spacing w:val="0"/>
          <w:color w:val="000000"/>
          <w:position w:val="0"/>
        </w:rPr>
        <w:t xml:space="preserve"> Признать жалобу ИП Меньшиков Р.А. на действия ФГБОУ ВО «МГТУ им. Н.Э. Баумана» необоснованной.</w:t>
      </w:r>
    </w:p>
    <w:p>
      <w:pPr>
        <w:pStyle w:val="Style5"/>
        <w:numPr>
          <w:ilvl w:val="0"/>
          <w:numId w:val="1"/>
        </w:numPr>
        <w:widowControl w:val="0"/>
        <w:keepNext w:val="0"/>
        <w:keepLines w:val="0"/>
        <w:shd w:val="clear" w:color="auto" w:fill="auto"/>
        <w:bidi w:val="0"/>
        <w:jc w:val="left"/>
        <w:spacing w:before="0" w:after="300" w:line="322" w:lineRule="exact"/>
        <w:ind w:left="0" w:right="20" w:firstLine="72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№ЕИ/63474/21 от 15.10.2021.</w:t>
      </w:r>
    </w:p>
    <w:p>
      <w:pPr>
        <w:pStyle w:val="Style5"/>
        <w:widowControl w:val="0"/>
        <w:keepNext w:val="0"/>
        <w:keepLines w:val="0"/>
        <w:shd w:val="clear" w:color="auto" w:fill="auto"/>
        <w:bidi w:val="0"/>
        <w:jc w:val="left"/>
        <w:spacing w:before="0" w:after="0"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652" w:line="260" w:lineRule="exact"/>
        <w:ind w:left="0" w:right="0" w:firstLine="0"/>
      </w:pPr>
      <w:r>
        <w:rPr>
          <w:lang w:val="ru-RU" w:eastAsia="ru-RU" w:bidi="ru-RU"/>
          <w:w w:val="100"/>
          <w:spacing w:val="0"/>
          <w:color w:val="000000"/>
          <w:position w:val="0"/>
        </w:rPr>
        <w:t>гл. 24 АПК РФ.</w:t>
      </w:r>
    </w:p>
    <w:p>
      <w:pPr>
        <w:pStyle w:val="Style5"/>
        <w:framePr w:h="250" w:vSpace="394" w:wrap="around" w:vAnchor="text" w:hAnchor="margin" w:x="8327" w:y="1"/>
        <w:widowControl w:val="0"/>
        <w:keepNext w:val="0"/>
        <w:keepLines w:val="0"/>
        <w:shd w:val="clear" w:color="auto" w:fill="auto"/>
        <w:bidi w:val="0"/>
        <w:jc w:val="left"/>
        <w:spacing w:before="0" w:after="0" w:line="240" w:lineRule="exact"/>
        <w:ind w:left="100" w:right="0" w:firstLine="0"/>
      </w:pPr>
      <w:r>
        <w:rPr>
          <w:rStyle w:val="CharStyle11"/>
          <w:spacing w:val="0"/>
        </w:rPr>
        <w:t>Д.С. Грешнева</w:t>
      </w:r>
    </w:p>
    <w:p>
      <w:pPr>
        <w:pStyle w:val="Style5"/>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Заместитель председателя Комиссии</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11"/>
          <w:spacing w:val="0"/>
        </w:rPr>
        <w:t>Члены Комиссии:</w:t>
      </w:r>
    </w:p>
    <w:p>
      <w:pPr>
        <w:pStyle w:val="Style5"/>
        <w:framePr w:h="245" w:wrap="notBeside" w:vAnchor="text" w:hAnchor="margin" w:x="7996" w:y="644"/>
        <w:widowControl w:val="0"/>
        <w:keepNext w:val="0"/>
        <w:keepLines w:val="0"/>
        <w:shd w:val="clear" w:color="auto" w:fill="auto"/>
        <w:bidi w:val="0"/>
        <w:jc w:val="left"/>
        <w:spacing w:before="0" w:after="0" w:line="240" w:lineRule="exact"/>
        <w:ind w:left="100" w:right="0" w:firstLine="0"/>
      </w:pPr>
      <w:r>
        <w:rPr>
          <w:rStyle w:val="CharStyle11"/>
          <w:spacing w:val="0"/>
        </w:rPr>
        <w:t>А.А. Матюшенко</w:t>
      </w:r>
    </w:p>
    <w:p>
      <w:pPr>
        <w:pStyle w:val="Style5"/>
        <w:widowControl w:val="0"/>
        <w:keepNext w:val="0"/>
        <w:keepLines w:val="0"/>
        <w:shd w:val="clear" w:color="auto" w:fill="auto"/>
        <w:bidi w:val="0"/>
        <w:jc w:val="right"/>
        <w:spacing w:before="0" w:after="7618" w:line="260" w:lineRule="exact"/>
        <w:ind w:left="0" w:right="20" w:firstLine="0"/>
      </w:pPr>
      <w:r>
        <w:rPr>
          <w:lang w:val="ru-RU" w:eastAsia="ru-RU" w:bidi="ru-RU"/>
          <w:w w:val="100"/>
          <w:spacing w:val="0"/>
          <w:color w:val="000000"/>
          <w:position w:val="0"/>
        </w:rPr>
        <w:t>П.А. Ступченко</w:t>
      </w:r>
    </w:p>
    <w:p>
      <w:pPr>
        <w:pStyle w:val="Style12"/>
        <w:widowControl w:val="0"/>
        <w:keepNext w:val="0"/>
        <w:keepLines w:val="0"/>
        <w:shd w:val="clear" w:color="auto" w:fill="auto"/>
        <w:bidi w:val="0"/>
        <w:jc w:val="left"/>
        <w:spacing w:before="0" w:after="0"/>
        <w:ind w:left="0" w:right="3980" w:firstLine="0"/>
      </w:pPr>
      <w:r>
        <w:rPr>
          <w:lang w:val="ru-RU" w:eastAsia="ru-RU" w:bidi="ru-RU"/>
          <w:w w:val="100"/>
          <w:spacing w:val="0"/>
          <w:color w:val="000000"/>
          <w:position w:val="0"/>
        </w:rPr>
        <w:t>Исп. Матюшенко А.А., 8(495) 784-75-05 2021-70948</w:t>
      </w:r>
    </w:p>
    <w:sectPr>
      <w:pgSz w:w="11906" w:h="16838"/>
      <w:pgMar w:top="885" w:left="855" w:right="855"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2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8280" w:line="95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