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3" w:left="3035" w:right="7883" w:bottom="75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2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35-53-55, факс (4942) 35-53-55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7"/>
        <w:tabs>
          <w:tab w:leader="none" w:pos="3796" w:val="right"/>
        </w:tabs>
        <w:widowControl w:val="0"/>
        <w:keepNext/>
        <w:keepLines/>
        <w:shd w:val="clear" w:color="auto" w:fill="auto"/>
        <w:bidi w:val="0"/>
        <w:spacing w:before="0" w:after="158" w:line="360" w:lineRule="exact"/>
        <w:ind w:left="460" w:right="0" w:firstLine="0"/>
      </w:pPr>
      <w:bookmarkStart w:id="0" w:name="bookmark0"/>
      <w:r>
        <w:rPr>
          <w:rStyle w:val="CharStyle9"/>
          <w:b/>
          <w:bCs/>
          <w:i/>
          <w:iCs/>
        </w:rPr>
        <w:t xml:space="preserve">Л5. НО, </w:t>
      </w:r>
      <w:r>
        <w:rPr>
          <w:rStyle w:val="CharStyle9"/>
          <w:lang w:val="en-US" w:eastAsia="en-US" w:bidi="en-US"/>
          <w:b/>
          <w:bCs/>
          <w:i/>
          <w:iCs/>
        </w:rPr>
        <w:t>ZOM</w:t>
      </w:r>
      <w:r>
        <w:rPr>
          <w:rStyle w:val="CharStyle10"/>
          <w:b w:val="0"/>
          <w:bCs w:val="0"/>
          <w:i w:val="0"/>
          <w:iCs w:val="0"/>
        </w:rPr>
        <w:t xml:space="preserve"> </w:t>
      </w:r>
      <w:r>
        <w:rPr>
          <w:rStyle w:val="CharStyle11"/>
          <w:b w:val="0"/>
          <w:bCs w:val="0"/>
          <w:i w:val="0"/>
          <w:iCs w:val="0"/>
        </w:rPr>
        <w:t>№</w:t>
        <w:tab/>
      </w:r>
      <w:r>
        <w:rPr>
          <w:rStyle w:val="CharStyle9"/>
          <w:b/>
          <w:bCs/>
          <w:i/>
          <w:iCs/>
        </w:rPr>
        <w:t>зч64</w:t>
      </w:r>
      <w:r>
        <w:rPr>
          <w:rStyle w:val="CharStyle9"/>
          <w:lang w:val="en-US" w:eastAsia="en-US" w:bidi="en-US"/>
          <w:b/>
          <w:bCs/>
          <w:i/>
          <w:iCs/>
        </w:rPr>
        <w:t>/os</w:t>
      </w:r>
      <w:bookmarkEnd w:id="0"/>
    </w:p>
    <w:p>
      <w:pPr>
        <w:pStyle w:val="Style5"/>
        <w:tabs>
          <w:tab w:leader="underscore" w:pos="2318" w:val="right"/>
          <w:tab w:leader="underscore" w:pos="40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4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бюджетное учреждение здравоохранения «Медицинский информационно</w:t>
        <w:softHyphen/>
        <w:t>аналитический центр Костромской области»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156019 г. Кострома, Кинешемское ш., 6а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"mailto:info@miac.dzo-kostroma.ru"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>@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miac.dzo-kostroma.ru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0" w:firstLine="0"/>
      </w:pPr>
      <w:r>
        <w:rPr>
          <w:rStyle w:val="CharStyle14"/>
        </w:rPr>
        <w:t>Уполномоченное учреждение: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0" w:firstLine="0"/>
        <w:sectPr>
          <w:type w:val="continuous"/>
          <w:pgSz w:w="11906" w:h="16838"/>
          <w:pgMar w:top="723" w:left="1326" w:right="1249" w:bottom="752" w:header="0" w:footer="3" w:gutter="0"/>
          <w:rtlGutter w:val="0"/>
          <w:cols w:num="2" w:space="62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казенное учреждение «Агентство государственных закупок Костромской области»</w:t>
      </w: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Пятницкая, дом 39/1, неж. пом. 1, ком. 20, г. Кострома, Костромская область, 156000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980" w:right="14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1) </w:t>
      </w:r>
      <w:r>
        <w:fldChar w:fldCharType="begin"/>
      </w:r>
      <w:r>
        <w:rPr>
          <w:color w:val="000000"/>
        </w:rPr>
        <w:instrText> HYPERLINK "mailto:public@rks.adm44.ru"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public@rks.adm44.ru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2) </w:t>
      </w:r>
      <w:r>
        <w:fldChar w:fldCharType="begin"/>
      </w:r>
      <w:r>
        <w:rPr>
          <w:color w:val="000000"/>
        </w:rPr>
        <w:instrText> HYPERLINK "mailto:agzko@adm44.ru"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agzko@adm44.ru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83"/>
        <w:ind w:left="5260" w:right="140" w:firstLine="0"/>
      </w:pPr>
      <w:r>
        <w:rPr>
          <w:rStyle w:val="CharStyle14"/>
        </w:rPr>
        <w:t>Электронная площадка: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00" w:line="220" w:lineRule="exact"/>
        <w:ind w:left="52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260" w:right="140" w:firstLine="0"/>
      </w:pPr>
      <w:r>
        <w:rPr>
          <w:rStyle w:val="CharStyle14"/>
        </w:rPr>
        <w:t>Заявитель: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«Альта»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52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141009, Московская область, г. Мытищи, ул. Коминтерна, д. 15А, литера Д, помещение 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"mailto:Alta-us@mail.ru"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Alta-us@mail.ru</w:t>
      </w:r>
      <w:r>
        <w:fldChar w:fldCharType="end"/>
      </w:r>
    </w:p>
    <w:p>
      <w:pPr>
        <w:pStyle w:val="Style12"/>
        <w:tabs>
          <w:tab w:leader="none" w:pos="8593" w:val="right"/>
          <w:tab w:leader="none" w:pos="967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36" w:line="269" w:lineRule="exact"/>
        <w:ind w:left="20" w:right="20" w:firstLine="2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044/06/105-473/2021 20 октября 2021 г.</w:t>
        <w:tab/>
        <w:t>г.</w:t>
        <w:tab/>
        <w:t>Кострома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- Комиссия Костромского УФАС России; Комиссия) в составе:</w:t>
      </w:r>
    </w:p>
    <w:p>
      <w:pPr>
        <w:pStyle w:val="Style12"/>
        <w:tabs>
          <w:tab w:leader="none" w:pos="9670" w:val="right"/>
          <w:tab w:leader="none" w:pos="96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</w:t>
        <w:tab/>
        <w:t>М.И.;</w:t>
      </w:r>
    </w:p>
    <w:p>
      <w:pPr>
        <w:pStyle w:val="Style12"/>
        <w:tabs>
          <w:tab w:leader="none" w:pos="9075" w:val="right"/>
          <w:tab w:leader="none" w:pos="96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Пугачева</w:t>
        <w:tab/>
        <w:t>А.В.;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Суясов А.И.,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3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Костромского УФАС России по контролю в сфере закупок от 20 октября 2021 года по делу № 044/06/105-473/2021, принятого по результатам рассмотрения жалобы ООО «Альта» на действия Комиссии Заказчика при проведении закупки № 0841200000721001487 «Поставка продукции радиоэлектронной промышленности (принтер) для оснащения государственных медицинских организаций Костромской области в рамках реализации регионального проекта «Создание единого цифрового контура в</w:t>
        <w:br w:type="page"/>
        <w:t xml:space="preserve">здравоохранении на основе единой государственной информационной системы здравоохранения» и проведенной Комиссией Костромского УФАС России, руководствуясь частью 22 статьи 99 Федерального закона от 21.07.2005 г. № 44-ФЗ «О контрактной системе в сфере </w:t>
      </w:r>
      <w:r>
        <w:rPr>
          <w:rStyle w:val="CharStyle16"/>
        </w:rPr>
        <w:t xml:space="preserve">закупок товаров, работ,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услуг для обеспечения государственных и муниципальных нужд» (далее - Закон о контрактной системе), внеплановой проверки,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7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Областному государственному бюджетному учреждению здравоохранения «Медицинский информационно-аналитический центр Костромской области» (далее - Заказчик), Комиссии Заказчика (аукционной комиссии) прекратить нарушение пункта 2 части 1 статьи 64 Закона о контрактной системе в срок </w:t>
      </w:r>
      <w:r>
        <w:rPr>
          <w:rStyle w:val="CharStyle17"/>
        </w:rPr>
        <w:t xml:space="preserve">до 19 ноября 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путем возврата направленного для подписания проекта контракта (при наличии), отмены сформированных протоколов, внесения изменения в документацию об аукционе в электронной форме в соответствии с Законом о контрактной системе и принятым Комиссией Костромского УФАС России решению по делу № 044/06/105-473/2021 от 20 октября 2021 года.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ООО «РТС-тендер» обеспечить возможность исполнения настоящего предписания.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 выполнении настоящего предписания сообщить в срок, не превышающий трех рабочих дней с момента его исполнения, представив подтверждающие документы в Костромское УФАС России в письменном виде или по факсимильной связи (4942) 355-355, или по электронной почте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403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соответствие с частью 7 статьи 19.5 Кодекса Российской Федерации об административных правонарушениях.</w:t>
      </w:r>
    </w:p>
    <w:p>
      <w:pPr>
        <w:pStyle w:val="Style12"/>
        <w:framePr w:h="210" w:wrap="around" w:vAnchor="text" w:hAnchor="margin" w:x="7996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М.И. Исмаилов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  <w:sectPr>
          <w:type w:val="continuous"/>
          <w:pgSz w:w="11906" w:h="16838"/>
          <w:pgMar w:top="1089" w:left="980" w:right="1244" w:bottom="111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1" w:wrap="around" w:vAnchor="text" w:hAnchor="margin" w:x="8092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А.В. Пугачева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2795" w:left="1004" w:right="8823" w:bottom="279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А.И. Суясов</w:t>
      </w:r>
    </w:p>
    <w:sectPr>
      <w:type w:val="continuous"/>
      <w:pgSz w:w="11906" w:h="16838"/>
      <w:pgMar w:top="2795" w:left="9394" w:right="946" w:bottom="2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 + Franklin Gothic Medium,9,5 pt,Не полужирный,Не курсив"/>
    <w:basedOn w:val="CharStyle8"/>
    <w:rPr>
      <w:lang w:val="en-US" w:eastAsia="en-US" w:bidi="en-US"/>
      <w:b/>
      <w:bCs/>
      <w:i/>
      <w:iCs/>
      <w:sz w:val="19"/>
      <w:szCs w:val="19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1">
    <w:name w:val="Заголовок №1 + Franklin Gothic Medium,9,5 pt,Не полужирный,Не курсив"/>
    <w:basedOn w:val="CharStyle8"/>
    <w:rPr>
      <w:lang w:val="ru-RU" w:eastAsia="ru-RU" w:bidi="ru-RU"/>
      <w:b/>
      <w:bCs/>
      <w:i/>
      <w:iCs/>
      <w:sz w:val="19"/>
      <w:szCs w:val="19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16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12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120" w:after="240" w:line="0" w:lineRule="exact"/>
    </w:pPr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line="274" w:lineRule="exact"/>
      <w:ind w:hanging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