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713" w:left="3085" w:right="7808" w:bottom="742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24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55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Костромской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пер. Кадыевский, 4, г. Кострома, 156000 тел. (4942) 35-67-48, факс (4942) 35-67-48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"mailto:to44@fas.gov.ru"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to44@fas.gov.ru</w:t>
      </w:r>
      <w:r>
        <w:fldChar w:fldCharType="end"/>
      </w:r>
    </w:p>
    <w:p>
      <w:pPr>
        <w:pStyle w:val="Style7"/>
        <w:widowControl w:val="0"/>
        <w:keepNext/>
        <w:keepLines/>
        <w:shd w:val="clear" w:color="auto" w:fill="auto"/>
        <w:bidi w:val="0"/>
        <w:jc w:val="left"/>
        <w:spacing w:before="0" w:after="86" w:line="420" w:lineRule="exact"/>
        <w:ind w:left="440" w:right="0" w:firstLine="0"/>
      </w:pPr>
      <w:bookmarkStart w:id="0" w:name="bookmark0"/>
      <w:r>
        <w:rPr>
          <w:rStyle w:val="CharStyle9"/>
          <w:i/>
          <w:iCs/>
        </w:rPr>
        <w:t>ЛЯЖМУ</w:t>
      </w:r>
      <w:r>
        <w:rPr>
          <w:rStyle w:val="CharStyle10"/>
          <w:i/>
          <w:iCs/>
        </w:rPr>
        <w:t xml:space="preserve">ъ </w:t>
      </w:r>
      <w:r>
        <w:rPr>
          <w:rStyle w:val="CharStyle11"/>
          <w:lang w:val="ru-RU" w:eastAsia="ru-RU" w:bidi="ru-RU"/>
          <w:i/>
          <w:iCs/>
        </w:rPr>
        <w:t>Зщ</w:t>
      </w:r>
      <w:r>
        <w:rPr>
          <w:rStyle w:val="CharStyle11"/>
          <w:i/>
          <w:iCs/>
        </w:rPr>
        <w:t>/os</w:t>
      </w:r>
      <w:bookmarkEnd w:id="0"/>
    </w:p>
    <w:p>
      <w:pPr>
        <w:pStyle w:val="Style5"/>
        <w:tabs>
          <w:tab w:leader="underscore" w:pos="2346" w:val="right"/>
          <w:tab w:leader="underscore" w:pos="405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80" w:lineRule="exact"/>
        <w:ind w:left="4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  <w:tab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rStyle w:val="CharStyle14"/>
        </w:rPr>
        <w:t>Заказчик: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33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Областное государственное бюджетное учреждение здравоохранения «Медицинский информационно</w:t>
        <w:softHyphen/>
        <w:t>аналитический центр Костромской области»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48" w:line="28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156019 г. Кострома, Кинешемское ш., 6а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"mailto:info@miac.dzo-kostroma.ru"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info@miac.dzo-kostroma.ru</w:t>
      </w:r>
      <w:r>
        <w:fldChar w:fldCharType="end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rStyle w:val="CharStyle14"/>
        </w:rPr>
        <w:t>Уполномоченное учреждение: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  <w:sectPr>
          <w:type w:val="continuous"/>
          <w:pgSz w:w="11906" w:h="16838"/>
          <w:pgMar w:top="713" w:left="1405" w:right="1247" w:bottom="742" w:header="0" w:footer="3" w:gutter="0"/>
          <w:rtlGutter w:val="0"/>
          <w:cols w:num="2" w:space="553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Областное государственное казенное учреждение «Агентство государственных закупок Костромской области»</w:t>
      </w:r>
    </w:p>
    <w:p>
      <w:pPr>
        <w:widowControl w:val="0"/>
        <w:spacing w:before="20" w:after="2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26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Пятницкая, дом 39/1, неж. пом. 1, ком. 20, г. Кострома, Костромская область, 156000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5980" w:right="14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1) </w:t>
      </w:r>
      <w:r>
        <w:fldChar w:fldCharType="begin"/>
      </w:r>
      <w:r>
        <w:rPr>
          <w:color w:val="000000"/>
        </w:rPr>
        <w:instrText> HYPERLINK "mailto:public@rks.adm44.ru"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public@rks.adm44.ru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2) </w:t>
      </w:r>
      <w:r>
        <w:fldChar w:fldCharType="begin"/>
      </w:r>
      <w:r>
        <w:rPr>
          <w:color w:val="000000"/>
        </w:rPr>
        <w:instrText> HYPERLINK "mailto:agzko@adm44.ru"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agzko@adm44.ru</w:t>
      </w:r>
      <w:r>
        <w:fldChar w:fldCharType="end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83"/>
        <w:ind w:left="5260" w:right="140" w:firstLine="0"/>
      </w:pPr>
      <w:r>
        <w:rPr>
          <w:rStyle w:val="CharStyle14"/>
        </w:rPr>
        <w:t>Электронная площадка: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ООО «РТС-тендер»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56" w:line="220" w:lineRule="exact"/>
        <w:ind w:left="526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"mailto:ko@rts-tender.ru"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ko@rts-tender.ru</w:t>
      </w:r>
      <w:r>
        <w:fldChar w:fldCharType="end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44" w:line="278" w:lineRule="exact"/>
        <w:ind w:left="5260" w:right="140" w:firstLine="0"/>
      </w:pPr>
      <w:r>
        <w:rPr>
          <w:rStyle w:val="CharStyle14"/>
        </w:rPr>
        <w:t>Заявитель: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ООО «Альта»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44"/>
        <w:ind w:left="526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141009, Московская область, г. Мытищи, ул. Коминтерна, д. 15А, литера Д, помещение 12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"mailto:Alta-us@mail.ru"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Alta-us@mail.ru</w:t>
      </w:r>
      <w:r>
        <w:fldChar w:fldCharType="end"/>
      </w:r>
    </w:p>
    <w:p>
      <w:pPr>
        <w:pStyle w:val="Style12"/>
        <w:tabs>
          <w:tab w:leader="none" w:pos="8554" w:val="right"/>
          <w:tab w:leader="none" w:pos="9636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233" w:line="269" w:lineRule="exact"/>
        <w:ind w:left="0" w:right="20" w:firstLine="42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 044/06/105-473/2021 20 октября 2021 г.</w:t>
        <w:tab/>
        <w:t>г.</w:t>
        <w:tab/>
        <w:t>Кострома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Костромского У ФАС России по контролю в сфере закупок (далее — Комиссия Костромского У ФАС России; Комиссия) в составе:</w:t>
      </w:r>
    </w:p>
    <w:p>
      <w:pPr>
        <w:pStyle w:val="Style12"/>
        <w:tabs>
          <w:tab w:leader="none" w:pos="9019" w:val="right"/>
          <w:tab w:leader="none" w:pos="963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Комиссии:</w:t>
        <w:tab/>
        <w:t>Исмаилов</w:t>
        <w:tab/>
        <w:t>М.И.;</w:t>
      </w:r>
    </w:p>
    <w:p>
      <w:pPr>
        <w:pStyle w:val="Style12"/>
        <w:tabs>
          <w:tab w:leader="none" w:pos="811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  <w:tab/>
        <w:t>Пугачева А. В.;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right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Суясов А.И.,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283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ведении аудиозаписи заседания, в присутствии представителей Областного государственного бюджетного учреждения здравоохранения «Медицинский информационно-аналитический центр Костромской области» (далее - Заказчик), Областного государственного казенного учреждения «Агентство государственных закупок Костромской области» (далее - Уполномоченное учреждение) и общества с ограниченной ответственностью «Альта» (далее - ООО «Альта»; Общество; Заявитель), рассмотрев жалобу Заявителя на действия Комиссии Заказчика и в результате проведения в соответствии с частью 15 статьи 99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внеплановой проверки,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center"/>
        <w:spacing w:before="0" w:after="215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материалам дела, 29.09.2021 г. на официальном сайте в сети «Интернет» в единой информационной системе в сфере закупок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http://www.zakupki.gov.ru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(далее - ЕИС) размещены извещение о проведении электронного аукциона и документация об аукционе в электронной форме на право заключения контракта на поставку продукции радиоэлектронной промышленности (принтер) для оснащения государственных медицинских организаций Костромской области в рамках реализации регионального проекта «Создание единого цифрового контура в здравоохранении на основе единой государственной информационной системы здравоохранения (закупка № 0841200000721001487).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3 267 400,00 руб.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адрес Костромского У ФАС России от ООО «Альта» поступила жалоба по вышеуказанной закупке.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в своей жалобе обжалует действия Комиссии Заказчика, а именно неправомерный отказ в допуске к участию в аукционе.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вышеуказанные доводы Заказчиком, Уполномоченным учреждением представлены в письменной форме возражения. Согласно возражениям, Заказчик с доводом жалобы не согласен и считает его необоснованным в полном объеме. Уполномоченное учреждение поддержало позицию Заказчика, также просило признать жалобу необоснованной.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Костромского У ФАС России было принято решение о перерыве в заседании до 20.10.2021 г. для представления сторонами дополнительных письменных пояснений (при наличии).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Костромского У ФАС России, рассмотрев доводы жалобы, изучив представленные материалы и документы, нормативные правовые акты, проведя внеплановую проверку в соответствии с частью 15 статьи 99 Закона о контрактной системе, приходит к следующим выводам.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со статьей 6 Закона о контрактной системе контрактная система в сфере закупок основывается на принципах открытости и прозрачности информации о контрактной системе в сфере закупок, а также обеспечения конкуренции, профессионализма заказчиков, стимулирования инноваций, единства контрактной системы в сфере закупок, ответственности за результативность обеспечения государственных и муниципальных нужд, эффективности осуществления закупок.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заказчики в силу части 1 статьи 24 Закона о контрактной системе при осуществлении закупок используют конкурентные способы определения поставщиков (подрядчиков, исполнителей) или осуществляют закупки у единственного поставщика (подрядчика, исполнителя).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Конкурентными способами определения поставщиков (подрядчиков, исполнителей) являются конкурсы (открытый конкурс, конкурс с ограниченным участием, двухэтапный конкурс, закрытый конкурс, закрытый конкурс с ограниченным участием, закрытый двухэтапный конкурс), аукционы (аукцион в электронной форме (далее также - электронный аукцион), закрытый аукцион), запрос котировок, запрос предложений (часть 2 статьи 24 Закона о контрактной системе).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Под аукционом в электронной форме (электронным аукционом) понимается аукцион,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нем, к участникам закупки предъявляются единые требования и дополнительные требования, проведение такого аукциона обеспечивается на электронной площадке ее оператором (часть 1 статьи 59 Закона о контрактной системе).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Протоколом № 0841200000721001487-1 рассмотрения заявок на участие в аукционе в электронной форме от 08.10.2021 года на участие в электронном аукционе подано семь заявок с идентификационными номерами: 110636470, 110638804, 110644301, 110645815, 110648130, 110648257 (ООО «Альта»), 110650128. Заявке участника закупки ООО «Альта» отказано в допуске к участию в аукционе. Основанием отказа послужило непредоставление информации, предусмотренной частью 3 статьи 66 Закона о контрактной системе.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1 статьи 67 Закона о контрактной системе, аукционная комиссия проверяет первые части заявок на участие в электронном аукционе, содержащие информацию, предусмотренную частью 3 статьи 66 настоящего Федерального закона, на соответствие требованиям, установленным документацией о таком аукционе в отношении закупаемых товаров, работ, услуг.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части 4 статьи 67 Закона о контрактной системе участник электронного аукциона не допускается к участию в нем в случае:</w:t>
      </w:r>
    </w:p>
    <w:p>
      <w:pPr>
        <w:pStyle w:val="Style1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непредоставления информации, предусмотренной частью 3 статьи 66 настоящего Федерального закона, или предоставления недостоверной информации;</w:t>
      </w:r>
    </w:p>
    <w:p>
      <w:pPr>
        <w:pStyle w:val="Style1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несоответствия информации, предусмотренной частью 3 статьи 66 настоящего Федерального закона, требованиям документации о таком аукционе.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240"/>
        <w:ind w:left="20" w:right="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Пунктом 5 раздела 1 «Информационная карта аукциона» документации об аукционе в электронной форме установлены требования к содержанию, составу заявки на участие в аукционе, в том числе следующие: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«1.Первая часть заявки на участие в электронном аукционе должна содержать:</w:t>
      </w:r>
    </w:p>
    <w:p>
      <w:pPr>
        <w:pStyle w:val="Style1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40" w:right="14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согласие участника электронного аукциона на поставку товара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площадки).</w:t>
      </w:r>
    </w:p>
    <w:p>
      <w:pPr>
        <w:pStyle w:val="Style1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наименование страны происхождения товара;</w:t>
      </w:r>
    </w:p>
    <w:p>
      <w:pPr>
        <w:pStyle w:val="Style1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40" w:right="14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</w:t>
      </w:r>
    </w:p>
    <w:p>
      <w:pPr>
        <w:pStyle w:val="Style12"/>
        <w:tabs>
          <w:tab w:leader="underscore" w:pos="961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44"/>
        <w:ind w:left="140" w:right="14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Значениями, установленным документацией, которым должны соответствовать предлагаемые участником аукциона показатели товара, являются все характеристики товара, установленные в таблице №1 раздела 2 настоящей документации;».</w:t>
        <w:tab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186" w:line="269" w:lineRule="exact"/>
        <w:ind w:left="20" w:right="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таблицей 1 раздела 2 «Описание объекта закупки» документации об электронном аукционе в электронной форме к поставке требуется товар, в том числе со следующими характеристиками:</w:t>
      </w:r>
    </w:p>
    <w:tbl>
      <w:tblPr>
        <w:tblOverlap w:val="never"/>
        <w:tblLayout w:type="fixed"/>
        <w:jc w:val="center"/>
      </w:tblPr>
      <w:tblGrid>
        <w:gridCol w:w="576"/>
        <w:gridCol w:w="1853"/>
        <w:gridCol w:w="2592"/>
        <w:gridCol w:w="4675"/>
      </w:tblGrid>
      <w:tr>
        <w:trPr>
          <w:trHeight w:val="581" w:hRule="exact"/>
        </w:trPr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2"/>
              <w:framePr w:w="969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60" w:line="220" w:lineRule="exact"/>
              <w:ind w:left="160" w:right="0" w:firstLine="0"/>
            </w:pPr>
            <w:r>
              <w:rPr>
                <w:rStyle w:val="CharStyle16"/>
              </w:rPr>
              <w:t>№</w:t>
            </w:r>
          </w:p>
          <w:p>
            <w:pPr>
              <w:pStyle w:val="Style12"/>
              <w:framePr w:w="969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60" w:after="0" w:line="220" w:lineRule="exact"/>
              <w:ind w:left="160" w:right="0" w:firstLine="0"/>
            </w:pPr>
            <w:r>
              <w:rPr>
                <w:rStyle w:val="CharStyle16"/>
              </w:rPr>
              <w:t>п/п</w:t>
            </w:r>
          </w:p>
        </w:tc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2"/>
              <w:framePr w:w="969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120" w:line="220" w:lineRule="exact"/>
              <w:ind w:left="0" w:right="0" w:firstLine="0"/>
            </w:pPr>
            <w:r>
              <w:rPr>
                <w:rStyle w:val="CharStyle16"/>
              </w:rPr>
              <w:t>Наименование</w:t>
            </w:r>
          </w:p>
          <w:p>
            <w:pPr>
              <w:pStyle w:val="Style12"/>
              <w:framePr w:w="969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120" w:after="0" w:line="220" w:lineRule="exact"/>
              <w:ind w:left="0" w:right="0" w:firstLine="0"/>
            </w:pPr>
            <w:r>
              <w:rPr>
                <w:rStyle w:val="CharStyle16"/>
              </w:rPr>
              <w:t>товара</w:t>
            </w:r>
          </w:p>
        </w:tc>
        <w:tc>
          <w:tcPr>
            <w:shd w:val="clear" w:color="auto" w:fill="FFFFFF"/>
            <w:gridSpan w:val="2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12"/>
              <w:framePr w:w="969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6"/>
              </w:rPr>
              <w:t>Характеристики товара</w:t>
            </w:r>
          </w:p>
        </w:tc>
      </w:tr>
      <w:tr>
        <w:trPr>
          <w:trHeight w:val="562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9696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9696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2"/>
              <w:framePr w:w="969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120" w:line="220" w:lineRule="exact"/>
              <w:ind w:left="0" w:right="0" w:firstLine="0"/>
            </w:pPr>
            <w:r>
              <w:rPr>
                <w:rStyle w:val="CharStyle16"/>
              </w:rPr>
              <w:t>Наименование</w:t>
            </w:r>
          </w:p>
          <w:p>
            <w:pPr>
              <w:pStyle w:val="Style12"/>
              <w:framePr w:w="969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120" w:after="0" w:line="220" w:lineRule="exact"/>
              <w:ind w:left="0" w:right="0" w:firstLine="0"/>
            </w:pPr>
            <w:r>
              <w:rPr>
                <w:rStyle w:val="CharStyle16"/>
              </w:rPr>
              <w:t>характеристики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12"/>
              <w:framePr w:w="969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6"/>
              </w:rPr>
              <w:t>Значение характеристики</w:t>
            </w:r>
          </w:p>
        </w:tc>
      </w:tr>
      <w:tr>
        <w:trPr>
          <w:trHeight w:val="28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2"/>
              <w:framePr w:w="969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260" w:right="0" w:firstLine="0"/>
            </w:pPr>
            <w:r>
              <w:rPr>
                <w:rStyle w:val="CharStyle16"/>
              </w:rPr>
              <w:t>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2"/>
              <w:framePr w:w="969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6"/>
              </w:rPr>
              <w:t>2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2"/>
              <w:framePr w:w="969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6"/>
              </w:rPr>
              <w:t>4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12"/>
              <w:framePr w:w="969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6"/>
              </w:rPr>
              <w:t>5</w:t>
            </w:r>
          </w:p>
        </w:tc>
      </w:tr>
      <w:tr>
        <w:trPr>
          <w:trHeight w:val="283" w:hRule="exact"/>
        </w:trPr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2"/>
              <w:framePr w:w="969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260" w:right="0" w:firstLine="0"/>
            </w:pPr>
            <w:r>
              <w:rPr>
                <w:rStyle w:val="CharStyle16"/>
              </w:rPr>
              <w:t>1</w:t>
            </w:r>
          </w:p>
        </w:tc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2"/>
              <w:framePr w:w="969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6"/>
              </w:rPr>
              <w:t>Принтер</w:t>
            </w:r>
          </w:p>
        </w:tc>
        <w:tc>
          <w:tcPr>
            <w:shd w:val="clear" w:color="auto" w:fill="FFFFFF"/>
            <w:gridSpan w:val="2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969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57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9696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9696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2"/>
              <w:framePr w:w="969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6"/>
              </w:rPr>
              <w:t>Технология печати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2"/>
              <w:framePr w:w="969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/>
              <w:ind w:left="0" w:right="0" w:firstLine="0"/>
            </w:pPr>
            <w:r>
              <w:rPr>
                <w:rStyle w:val="CharStyle16"/>
              </w:rPr>
              <w:t>Электрографическая (лазерная, светодиодная)</w:t>
            </w:r>
          </w:p>
        </w:tc>
      </w:tr>
      <w:tr>
        <w:trPr>
          <w:trHeight w:val="312" w:hRule="exact"/>
        </w:trPr>
        <w:tc>
          <w:tcPr>
            <w:shd w:val="clear" w:color="auto" w:fill="FFFFFF"/>
            <w:vMerge/>
            <w:tcBorders>
              <w:left w:val="single" w:sz="4"/>
              <w:bottom w:val="single" w:sz="4"/>
            </w:tcBorders>
            <w:vAlign w:val="top"/>
          </w:tcPr>
          <w:p>
            <w:pPr>
              <w:framePr w:w="9696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  <w:bottom w:val="single" w:sz="4"/>
            </w:tcBorders>
            <w:vAlign w:val="top"/>
          </w:tcPr>
          <w:p>
            <w:pPr>
              <w:framePr w:w="9696" w:wrap="notBeside" w:vAnchor="text" w:hAnchor="text" w:xAlign="center" w:y="1"/>
            </w:pPr>
          </w:p>
        </w:tc>
        <w:tc>
          <w:tcPr>
            <w:shd w:val="clear" w:color="auto" w:fill="FFFFFF"/>
            <w:gridSpan w:val="2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framePr w:w="969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189" w:line="254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заявке участника закупки по данным позициям предлагается товар с характеристиками, в том числе:</w:t>
      </w:r>
    </w:p>
    <w:tbl>
      <w:tblPr>
        <w:tblOverlap w:val="never"/>
        <w:tblLayout w:type="fixed"/>
        <w:jc w:val="center"/>
      </w:tblPr>
      <w:tblGrid>
        <w:gridCol w:w="581"/>
        <w:gridCol w:w="1848"/>
        <w:gridCol w:w="2549"/>
        <w:gridCol w:w="4694"/>
      </w:tblGrid>
      <w:tr>
        <w:trPr>
          <w:trHeight w:val="586" w:hRule="exact"/>
        </w:trPr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2"/>
              <w:framePr w:w="967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60" w:line="220" w:lineRule="exact"/>
              <w:ind w:left="160" w:right="0" w:firstLine="0"/>
            </w:pPr>
            <w:r>
              <w:rPr>
                <w:rStyle w:val="CharStyle16"/>
              </w:rPr>
              <w:t>№</w:t>
            </w:r>
          </w:p>
          <w:p>
            <w:pPr>
              <w:pStyle w:val="Style12"/>
              <w:framePr w:w="967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60" w:after="0" w:line="220" w:lineRule="exact"/>
              <w:ind w:left="160" w:right="0" w:firstLine="0"/>
            </w:pPr>
            <w:r>
              <w:rPr>
                <w:rStyle w:val="CharStyle16"/>
              </w:rPr>
              <w:t>п/п</w:t>
            </w:r>
          </w:p>
        </w:tc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2"/>
              <w:framePr w:w="967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120" w:line="220" w:lineRule="exact"/>
              <w:ind w:left="0" w:right="0" w:firstLine="0"/>
            </w:pPr>
            <w:r>
              <w:rPr>
                <w:rStyle w:val="CharStyle16"/>
              </w:rPr>
              <w:t>Наименование</w:t>
            </w:r>
          </w:p>
          <w:p>
            <w:pPr>
              <w:pStyle w:val="Style12"/>
              <w:framePr w:w="967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120" w:after="0" w:line="220" w:lineRule="exact"/>
              <w:ind w:left="0" w:right="0" w:firstLine="0"/>
            </w:pPr>
            <w:r>
              <w:rPr>
                <w:rStyle w:val="CharStyle16"/>
              </w:rPr>
              <w:t>товара</w:t>
            </w:r>
          </w:p>
        </w:tc>
        <w:tc>
          <w:tcPr>
            <w:shd w:val="clear" w:color="auto" w:fill="FFFFFF"/>
            <w:gridSpan w:val="2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12"/>
              <w:framePr w:w="967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6"/>
              </w:rPr>
              <w:t>Характеристики товара</w:t>
            </w:r>
          </w:p>
        </w:tc>
      </w:tr>
      <w:tr>
        <w:trPr>
          <w:trHeight w:val="557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9672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9672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2"/>
              <w:framePr w:w="967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120" w:line="220" w:lineRule="exact"/>
              <w:ind w:left="0" w:right="0" w:firstLine="0"/>
            </w:pPr>
            <w:r>
              <w:rPr>
                <w:rStyle w:val="CharStyle16"/>
              </w:rPr>
              <w:t>Наименование</w:t>
            </w:r>
          </w:p>
          <w:p>
            <w:pPr>
              <w:pStyle w:val="Style12"/>
              <w:framePr w:w="967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120" w:after="0" w:line="220" w:lineRule="exact"/>
              <w:ind w:left="0" w:right="0" w:firstLine="0"/>
            </w:pPr>
            <w:r>
              <w:rPr>
                <w:rStyle w:val="CharStyle16"/>
              </w:rPr>
              <w:t>характеристики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12"/>
              <w:framePr w:w="967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6"/>
              </w:rPr>
              <w:t>Значение характеристики</w:t>
            </w:r>
          </w:p>
        </w:tc>
      </w:tr>
      <w:tr>
        <w:trPr>
          <w:trHeight w:val="28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2"/>
              <w:framePr w:w="967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260" w:right="0" w:firstLine="0"/>
            </w:pPr>
            <w:r>
              <w:rPr>
                <w:rStyle w:val="CharStyle16"/>
              </w:rPr>
              <w:t>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2"/>
              <w:framePr w:w="967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6"/>
              </w:rPr>
              <w:t>2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2"/>
              <w:framePr w:w="967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6"/>
              </w:rPr>
              <w:t>4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12"/>
              <w:framePr w:w="967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6"/>
              </w:rPr>
              <w:t>5</w:t>
            </w:r>
          </w:p>
        </w:tc>
      </w:tr>
      <w:tr>
        <w:trPr>
          <w:trHeight w:val="787" w:hRule="exact"/>
        </w:trPr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2"/>
              <w:framePr w:w="967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260" w:right="0" w:firstLine="0"/>
            </w:pPr>
            <w:r>
              <w:rPr>
                <w:rStyle w:val="CharStyle16"/>
              </w:rPr>
              <w:t>1</w:t>
            </w:r>
          </w:p>
        </w:tc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2"/>
              <w:framePr w:w="967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/>
              <w:ind w:left="0" w:right="0" w:firstLine="0"/>
            </w:pPr>
            <w:r>
              <w:rPr>
                <w:rStyle w:val="CharStyle16"/>
              </w:rPr>
              <w:t xml:space="preserve">Принтер </w:t>
            </w:r>
            <w:r>
              <w:rPr>
                <w:rStyle w:val="CharStyle16"/>
                <w:lang w:val="en-US" w:eastAsia="en-US" w:bidi="en-US"/>
              </w:rPr>
              <w:t xml:space="preserve">Pantum P3302D </w:t>
            </w:r>
            <w:r>
              <w:rPr>
                <w:rStyle w:val="CharStyle16"/>
              </w:rPr>
              <w:t>(Китайская Народная Республика)</w:t>
            </w:r>
          </w:p>
        </w:tc>
        <w:tc>
          <w:tcPr>
            <w:shd w:val="clear" w:color="auto" w:fill="FFFFFF"/>
            <w:gridSpan w:val="2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967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3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9672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bottom"/>
          </w:tcPr>
          <w:p>
            <w:pPr>
              <w:framePr w:w="9672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2"/>
              <w:framePr w:w="967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300" w:right="0" w:firstLine="0"/>
            </w:pPr>
            <w:r>
              <w:rPr>
                <w:rStyle w:val="CharStyle16"/>
              </w:rPr>
              <w:t>Технология печати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2"/>
              <w:framePr w:w="967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6"/>
              </w:rPr>
              <w:t>Электрографическая (лазерная)</w:t>
            </w:r>
          </w:p>
        </w:tc>
      </w:tr>
      <w:tr>
        <w:trPr>
          <w:trHeight w:val="341" w:hRule="exact"/>
        </w:trPr>
        <w:tc>
          <w:tcPr>
            <w:shd w:val="clear" w:color="auto" w:fill="FFFFFF"/>
            <w:vMerge/>
            <w:tcBorders>
              <w:left w:val="single" w:sz="4"/>
              <w:bottom w:val="single" w:sz="4"/>
            </w:tcBorders>
            <w:vAlign w:val="top"/>
          </w:tcPr>
          <w:p>
            <w:pPr>
              <w:framePr w:w="9672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  <w:bottom w:val="single" w:sz="4"/>
            </w:tcBorders>
            <w:vAlign w:val="bottom"/>
          </w:tcPr>
          <w:p>
            <w:pPr>
              <w:framePr w:w="9672" w:wrap="notBeside" w:vAnchor="text" w:hAnchor="text" w:xAlign="center" w:y="1"/>
            </w:pPr>
          </w:p>
        </w:tc>
        <w:tc>
          <w:tcPr>
            <w:shd w:val="clear" w:color="auto" w:fill="FFFFFF"/>
            <w:gridSpan w:val="2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framePr w:w="967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198" w:after="236" w:line="269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Приложении № 2 к Разделу 1 «Информационная карта аукциона» документации об аукционе в электронной форме имеется «Инструкция по заполнению заявок на участие в электронном аукционе», согласно которой:</w:t>
      </w:r>
    </w:p>
    <w:p>
      <w:pPr>
        <w:pStyle w:val="Style12"/>
        <w:widowControl w:val="0"/>
        <w:keepNext w:val="0"/>
        <w:keepLines w:val="0"/>
        <w:pBdr>
          <w:top w:val="single" w:sz="4" w:space="1" w:color="auto"/>
          <w:bottom w:val="single" w:sz="4" w:space="1" w:color="auto"/>
          <w:left w:val="single" w:sz="4" w:space="4" w:color="auto"/>
          <w:right w:val="single" w:sz="4" w:space="4" w:color="auto"/>
        </w:pBdr>
        <w:shd w:val="clear" w:color="auto" w:fill="auto"/>
        <w:bidi w:val="0"/>
        <w:jc w:val="both"/>
        <w:spacing w:before="0" w:after="244"/>
        <w:ind w:left="140" w:right="14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«Участником закупки должны быть указаны наименования характеристик, позволяющие определить соответствие закупаемого Товара установленным Заказчиком требованиям, в столбце 4 таблицы №1 Раздела 2 «Описание объекта закупки».</w:t>
      </w:r>
    </w:p>
    <w:p>
      <w:pPr>
        <w:pStyle w:val="Style12"/>
        <w:tabs>
          <w:tab w:leader="underscore" w:pos="9582" w:val="left"/>
        </w:tabs>
        <w:widowControl w:val="0"/>
        <w:keepNext w:val="0"/>
        <w:keepLines w:val="0"/>
        <w:pBdr>
          <w:top w:val="single" w:sz="4" w:space="1" w:color="auto"/>
          <w:bottom w:val="single" w:sz="4" w:space="1" w:color="auto"/>
          <w:left w:val="single" w:sz="4" w:space="4" w:color="auto"/>
          <w:right w:val="single" w:sz="4" w:space="4" w:color="auto"/>
        </w:pBdr>
        <w:shd w:val="clear" w:color="auto" w:fill="auto"/>
        <w:bidi w:val="0"/>
        <w:jc w:val="both"/>
        <w:spacing w:before="0" w:after="236" w:line="269" w:lineRule="exact"/>
        <w:ind w:left="140" w:right="14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случае, установления в техническом задании нескольких показателей (характеристик товара(материала)) через «,», то следует указывать все показатели </w:t>
      </w:r>
      <w:r>
        <w:rPr>
          <w:rStyle w:val="CharStyle14"/>
        </w:rPr>
        <w:t>(характеристики товара (материала)).».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Костромского У ФАС России установила, что заявка с идентификационным номером 110648257 (ООО «Альта») отклонена Комиссией Заказчика (аукционной комиссией) правомерно. Участник закупки в составе заявки указал не все требуемые характеристики товара, а именно: по наименованию характеристики «Технология печати» отсутствует часть значения характеристики товара - «светодиодная». Довод Заявителя не обоснован.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рамках внеплановой проверки Комиссией Костромского У ФАС России установлено следующее.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2 части 1 статьи 64 Закона о контрактной системе установлено, что документация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частями 3-6 статьи 66 настоящего Федерального закона и инструкция по ее заполнению.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установила, что значение характеристики «Технология печати», установленное в разделе 2 «Описание объекта закупки» документации об аукционе в электронной форме, имеет 2 значения: электрографическая лазерная и электрографическая светодиодная.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представитель ООО «Альта» пояснил, что принтера с одновременно двумя значениями технологии печати - лазерная и светодиодная, не существует, поэтому в заявке Общества по данной характеристике было указано одно из значений - лазерная.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Так, например, представитель ООО «Альта» указал, что принтеры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Pantum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используют лазерную электрофотографическую технологию печати. Данная позиция согласуется с информацией, размещенной в открытых источниках на официальном сайте международной компании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Pantum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- </w:t>
      </w:r>
      <w:r>
        <w:fldChar w:fldCharType="begin"/>
      </w:r>
      <w:r>
        <w:rPr>
          <w:color w:val="000000"/>
        </w:rPr>
        <w:instrText> HYPERLINK "http://www.pantum.ru"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www.pantum.ru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Установлено, что как минимум 4 участника закупки, в том числе и победитель электронного аукциона, предложили к поставке принтер компании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Pantum.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 позиции</w:t>
        <w:br w:type="page"/>
        <w:t>характеристики «Технология печати» участниками закупки предложены 2 значения технологии печати: Электрографическая (лазерная, светодиодная).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Представитель Заказчика на заседании пояснил, что Заказчик установил значение к характеристике «Технология печати» в соответствии с Каталогом товаров, работ, услуг для обеспечения государственных и муниципальных нужд (КТРУ), порядок формирования и ведения в единой информационной системе которого, а также правила его использования, установлены постановлением Правительства РФ от 08.02.2017 № 145.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представитель Заказчика указал, что потребность Заказчика заключается в получении принтера использующего либо лазерную технологию печати, либо светодиодную технологию печати.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тем, инструкция по заполнению заявок на участие в электронном аукционе (Приложение №2 к разделу 1 Информационной карты аукциона) не позволяет участнику закупки выбрать одну из технологий печати, императивно устанавливает необходимость указания в позиции характеристики «Технология печати» значение - Электрографическая (лазерная, светодиодная).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приходит к выводу, что инструкция по заполнению заявок на участие в электронном аукционе противоречит потребности заказчика и установленным требованиям к содержанию первых частей заявок участников закупки, может привести к ограничению количества участников закупки (отклонение заявки ООО «Альта»),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Заказчиком нарушен пункт 2 части 1 статьи 64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283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статьями 99, 106, Закона о контрактной системе, Комиссия Костромского У ФАС России по контролю в сфере закупок,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center"/>
        <w:spacing w:before="0" w:after="308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12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«Альта» необоснованной.</w:t>
      </w:r>
    </w:p>
    <w:p>
      <w:pPr>
        <w:pStyle w:val="Style12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Заказчика нарушившим пункт 2 части 1 статьи 64 Закона о контрактной системе.</w:t>
      </w:r>
    </w:p>
    <w:p>
      <w:pPr>
        <w:pStyle w:val="Style12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Выдать Заказчику, Комиссии Заказчика предписание об исправлении допущенных нарушений путем отмены сформированных протоколов, внесения изменений в документацию об аукционе в электронной форме в соответствии с Законом о контрактной системе и настоящим решением.</w:t>
      </w:r>
    </w:p>
    <w:p>
      <w:pPr>
        <w:pStyle w:val="Style12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0" w:line="27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Рассмотреть вопрос о привлечении виновных лиц Заказчика, Комиссии Заказчика к административной ответственности.</w:t>
      </w:r>
    </w:p>
    <w:p>
      <w:pPr>
        <w:pStyle w:val="Style12"/>
        <w:tabs>
          <w:tab w:leader="none" w:pos="7042" w:val="left"/>
          <w:tab w:leader="none" w:pos="812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067" w:line="27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заинтересованным лицом в арбитражный суд в течение трех месяцев в порядке, установл</w:t>
        <w:tab/>
        <w:t>"</w:t>
        <w:tab/>
        <w:t>" грации.</w:t>
      </w:r>
    </w:p>
    <w:p>
      <w:pPr>
        <w:pStyle w:val="Style12"/>
        <w:framePr w:h="210" w:wrap="around" w:vAnchor="text" w:hAnchor="margin" w:x="8037" w:y="-4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5"/>
          <w:spacing w:val="0"/>
        </w:rPr>
        <w:t>М.И. Исмаилов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20" w:right="0" w:firstLine="0"/>
        <w:sectPr>
          <w:type w:val="continuous"/>
          <w:pgSz w:w="11906" w:h="16838"/>
          <w:pgMar w:top="808" w:left="1105" w:right="1076" w:bottom="129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Комиссии: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8" w:after="7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framePr w:h="216" w:wrap="around" w:vAnchor="text" w:hAnchor="margin" w:x="8123" w:y="6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5"/>
          <w:spacing w:val="0"/>
        </w:rPr>
        <w:t>А.В. Пугачева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  <w:sectPr>
          <w:type w:val="continuous"/>
          <w:pgSz w:w="11906" w:h="16838"/>
          <w:pgMar w:top="444" w:left="1138" w:right="8684" w:bottom="92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2" w:after="8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sectPr>
      <w:type w:val="continuous"/>
      <w:pgSz w:w="11906" w:h="16838"/>
      <w:pgMar w:top="444" w:left="8036" w:right="1095" w:bottom="92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8">
    <w:name w:val="Заголовок №1_"/>
    <w:basedOn w:val="DefaultParagraphFont"/>
    <w:link w:val="Style7"/>
    <w:rPr>
      <w:b w:val="0"/>
      <w:bCs w:val="0"/>
      <w:i/>
      <w:iCs/>
      <w:u w:val="none"/>
      <w:strike w:val="0"/>
      <w:smallCaps w:val="0"/>
      <w:sz w:val="32"/>
      <w:szCs w:val="32"/>
      <w:rFonts w:ascii="Palatino Linotype" w:eastAsia="Palatino Linotype" w:hAnsi="Palatino Linotype" w:cs="Palatino Linotype"/>
      <w:spacing w:val="20"/>
    </w:rPr>
  </w:style>
  <w:style w:type="character" w:customStyle="1" w:styleId="CharStyle9">
    <w:name w:val="Заголовок №1"/>
    <w:basedOn w:val="CharStyle8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0">
    <w:name w:val="Заголовок №1"/>
    <w:basedOn w:val="CharStyle8"/>
    <w:rPr>
      <w:lang w:val="ru-RU" w:eastAsia="ru-RU" w:bidi="ru-RU"/>
      <w:w w:val="100"/>
      <w:color w:val="000000"/>
      <w:position w:val="0"/>
    </w:rPr>
  </w:style>
  <w:style w:type="character" w:customStyle="1" w:styleId="CharStyle11">
    <w:name w:val="Заголовок №1 + Times New Roman,21 pt,Интервал -1 pt"/>
    <w:basedOn w:val="CharStyle8"/>
    <w:rPr>
      <w:lang w:val="en-US" w:eastAsia="en-US" w:bidi="en-US"/>
      <w:u w:val="single"/>
      <w:sz w:val="42"/>
      <w:szCs w:val="42"/>
      <w:rFonts w:ascii="Times New Roman" w:eastAsia="Times New Roman" w:hAnsi="Times New Roman" w:cs="Times New Roman"/>
      <w:w w:val="100"/>
      <w:spacing w:val="-20"/>
      <w:color w:val="000000"/>
      <w:position w:val="0"/>
    </w:rPr>
  </w:style>
  <w:style w:type="character" w:customStyle="1" w:styleId="CharStyle13">
    <w:name w:val="Основной текст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4">
    <w:name w:val="Основной текст"/>
    <w:basedOn w:val="CharStyle13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5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3"/>
    </w:rPr>
  </w:style>
  <w:style w:type="character" w:customStyle="1" w:styleId="CharStyle16">
    <w:name w:val="Основной текст"/>
    <w:basedOn w:val="CharStyle13"/>
    <w:rPr>
      <w:lang w:val="ru-RU" w:eastAsia="ru-RU" w:bidi="ru-RU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20" w:line="278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20" w:after="120" w:line="23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7">
    <w:name w:val="Заголовок №1"/>
    <w:basedOn w:val="Normal"/>
    <w:link w:val="CharStyle8"/>
    <w:pPr>
      <w:widowControl w:val="0"/>
      <w:shd w:val="clear" w:color="auto" w:fill="FFFFFF"/>
      <w:outlineLvl w:val="0"/>
      <w:spacing w:before="120" w:after="180" w:line="0" w:lineRule="exact"/>
    </w:pPr>
    <w:rPr>
      <w:b w:val="0"/>
      <w:bCs w:val="0"/>
      <w:i/>
      <w:iCs/>
      <w:u w:val="none"/>
      <w:strike w:val="0"/>
      <w:smallCaps w:val="0"/>
      <w:sz w:val="32"/>
      <w:szCs w:val="32"/>
      <w:rFonts w:ascii="Palatino Linotype" w:eastAsia="Palatino Linotype" w:hAnsi="Palatino Linotype" w:cs="Palatino Linotype"/>
      <w:spacing w:val="20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FFFFFF"/>
      <w:spacing w:line="274" w:lineRule="exact"/>
      <w:ind w:hanging="720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