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7" w:line="260" w:lineRule="exact"/>
        <w:ind w:left="5340" w:right="0" w:firstLine="0"/>
      </w:pPr>
      <w:r>
        <w:rPr>
          <w:lang w:val="ru-RU" w:eastAsia="ru-RU" w:bidi="ru-RU"/>
          <w:w w:val="100"/>
          <w:spacing w:val="0"/>
          <w:color w:val="000000"/>
          <w:position w:val="0"/>
        </w:rPr>
        <w:t>ГБУЗ «ГКБ №40 ДЗМ»</w:t>
      </w:r>
    </w:p>
    <w:p>
      <w:pPr>
        <w:pStyle w:val="Style5"/>
        <w:widowControl w:val="0"/>
        <w:keepNext w:val="0"/>
        <w:keepLines w:val="0"/>
        <w:shd w:val="clear" w:color="auto" w:fill="auto"/>
        <w:bidi w:val="0"/>
        <w:jc w:val="left"/>
        <w:spacing w:before="0" w:after="247" w:line="260" w:lineRule="exact"/>
        <w:ind w:left="5340" w:right="0" w:firstLine="0"/>
      </w:pPr>
      <w:r>
        <w:rPr>
          <w:lang w:val="ru-RU" w:eastAsia="ru-RU" w:bidi="ru-RU"/>
          <w:w w:val="100"/>
          <w:spacing w:val="0"/>
          <w:color w:val="000000"/>
          <w:position w:val="0"/>
        </w:rPr>
        <w:t>ул. Касаткина, д. 7, г. Москва, 129301</w:t>
      </w:r>
    </w:p>
    <w:p>
      <w:pPr>
        <w:pStyle w:val="Style5"/>
        <w:widowControl w:val="0"/>
        <w:keepNext w:val="0"/>
        <w:keepLines w:val="0"/>
        <w:shd w:val="clear" w:color="auto" w:fill="auto"/>
        <w:bidi w:val="0"/>
        <w:jc w:val="left"/>
        <w:spacing w:before="0" w:after="296" w:line="317" w:lineRule="exact"/>
        <w:ind w:left="5340" w:right="500" w:firstLine="0"/>
      </w:pPr>
      <w:r>
        <w:rPr>
          <w:lang w:val="ru-RU" w:eastAsia="ru-RU" w:bidi="ru-RU"/>
          <w:w w:val="100"/>
          <w:spacing w:val="0"/>
          <w:color w:val="000000"/>
          <w:position w:val="0"/>
        </w:rPr>
        <w:t>МБООИ «Общество больных гемофилией»</w:t>
      </w:r>
    </w:p>
    <w:p>
      <w:pPr>
        <w:pStyle w:val="Style5"/>
        <w:widowControl w:val="0"/>
        <w:keepNext w:val="0"/>
        <w:keepLines w:val="0"/>
        <w:shd w:val="clear" w:color="auto" w:fill="auto"/>
        <w:bidi w:val="0"/>
        <w:jc w:val="left"/>
        <w:spacing w:before="0" w:after="1740" w:line="322" w:lineRule="exact"/>
        <w:ind w:left="5340" w:right="500" w:firstLine="0"/>
      </w:pPr>
      <w:r>
        <w:rPr>
          <w:lang w:val="ru-RU" w:eastAsia="ru-RU" w:bidi="ru-RU"/>
          <w:w w:val="100"/>
          <w:spacing w:val="0"/>
          <w:color w:val="000000"/>
          <w:position w:val="0"/>
        </w:rPr>
        <w:t>Нарышкинская аллея, д. 5, стр. 2, г. Москва, 125167</w:t>
      </w:r>
    </w:p>
    <w:p>
      <w:pPr>
        <w:pStyle w:val="Style7"/>
        <w:tabs>
          <w:tab w:leader="none" w:pos="9141" w:val="right"/>
          <w:tab w:leader="none" w:pos="10197"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077/06/106-18675/2021 о нарушении законодательства о контрактной системе 20.10.2021</w:t>
        <w:tab/>
        <w:t>г.</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260"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293"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Э.О. Сгибнева,</w:t>
      </w:r>
    </w:p>
    <w:p>
      <w:pPr>
        <w:pStyle w:val="Style5"/>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ГБУЗ «ГКБ №40 ДЗМ», МБООИ «Общество больных гемофилией»,</w:t>
      </w:r>
    </w:p>
    <w:p>
      <w:pPr>
        <w:pStyle w:val="Style5"/>
        <w:tabs>
          <w:tab w:leader="none" w:pos="7562" w:val="left"/>
        </w:tabs>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 xml:space="preserve">рассмотрев жалобу МБООИ «Общество больных гемофилией» (далее — Заявитель) на действия ГБУЗ «ГКБ №40 ДЗМ» (далее — Заказчик) при проведении электронного аукциона на право заключения государственного контракта на поставку реагентов (тромбиновое время ИВД) для анализатора </w:t>
      </w:r>
      <w:r>
        <w:rPr>
          <w:lang w:val="en-US" w:eastAsia="en-US" w:bidi="en-US"/>
          <w:w w:val="100"/>
          <w:spacing w:val="0"/>
          <w:color w:val="000000"/>
          <w:position w:val="0"/>
        </w:rPr>
        <w:t xml:space="preserve">ACL </w:t>
      </w:r>
      <w:r>
        <w:rPr>
          <w:lang w:val="ru-RU" w:eastAsia="ru-RU" w:bidi="ru-RU"/>
          <w:w w:val="100"/>
          <w:spacing w:val="0"/>
          <w:color w:val="000000"/>
          <w:position w:val="0"/>
        </w:rPr>
        <w:t>для нужд ГБУЗ «ГКБ №</w:t>
        <w:tab/>
        <w:t>40 ДЗМ» (Закупка</w:t>
      </w:r>
    </w:p>
    <w:p>
      <w:pPr>
        <w:pStyle w:val="Style3"/>
        <w:framePr w:w="1685" w:h="394" w:wrap="around" w:vAnchor="text" w:hAnchor="margin" w:x="385" w:y="161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001312813786</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0373200087821001192)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w:t>
      </w:r>
      <w:r>
        <w:br w:type="page"/>
      </w:r>
    </w:p>
    <w:p>
      <w:pPr>
        <w:pStyle w:val="Style5"/>
        <w:widowControl w:val="0"/>
        <w:keepNext w:val="0"/>
        <w:keepLines w:val="0"/>
        <w:shd w:val="clear" w:color="auto" w:fill="auto"/>
        <w:bidi w:val="0"/>
        <w:jc w:val="both"/>
        <w:spacing w:before="0" w:after="349" w:line="322" w:lineRule="exact"/>
        <w:ind w:left="20" w:right="40" w:firstLine="0"/>
      </w:pPr>
      <w:r>
        <w:rPr>
          <w:lang w:val="ru-RU" w:eastAsia="ru-RU" w:bidi="ru-RU"/>
          <w:w w:val="100"/>
          <w:spacing w:val="0"/>
          <w:color w:val="000000"/>
          <w:position w:val="0"/>
        </w:rPr>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результате рассмотрения жалоб, рассмотрев представленные документы и сведения, запрашиваемые письмом Московского УФАС России от 15.10.2021 №ЕИ/63478/21,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Согласно протоколу подведения итогов электронного аукциона от 06.10.2021 №0373200087821001192-3 заявка Заявителя (номер заявки 1) признана не соответствующей требованиям аукционной документации на следующем основании: «п. 1 ч. 6 ст. 69 44-ФЗ - непредставление документов и информации, которые предусмотрены ч. 11 ст. 24.1, ч. 3 или 3.1, 5, 8.2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медицинские изделия, предлагаемые участником к поставке, согласно информации производителя не могут использоваться с оборудованием Заказчика».</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технической части Ау</w:t>
      </w:r>
      <w:r>
        <w:rPr>
          <w:rStyle w:val="CharStyle9"/>
        </w:rPr>
        <w:t>кци</w:t>
      </w:r>
      <w:r>
        <w:rPr>
          <w:lang w:val="ru-RU" w:eastAsia="ru-RU" w:bidi="ru-RU"/>
          <w:w w:val="100"/>
          <w:spacing w:val="0"/>
          <w:color w:val="000000"/>
          <w:position w:val="0"/>
        </w:rPr>
        <w:t xml:space="preserve">онной документации Заказчиком установлены требования к поставляемому товару, а именно по поз. 1 «Тромбиновое время ИВД, реагент»: «Назначение: для анализаторов серии </w:t>
      </w:r>
      <w:r>
        <w:rPr>
          <w:lang w:val="en-US" w:eastAsia="en-US" w:bidi="en-US"/>
          <w:w w:val="100"/>
          <w:spacing w:val="0"/>
          <w:color w:val="000000"/>
          <w:position w:val="0"/>
        </w:rPr>
        <w:t>ACL».</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 3.1 ст.66 Закона о контрактной системе, должна содержать:</w:t>
      </w:r>
    </w:p>
    <w:p>
      <w:pPr>
        <w:pStyle w:val="Style5"/>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пп. «б» п.2 ч.3 ст.66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п.3 с.5 ст.66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Комиссией Управления установлено, что в составе первой части заявки участник закупки выразил согласие на поставку товаров на условиях, предусмотренных документацией об аукционе, а также представил сведения о поставляемом товаре, а именно по поз.1 «Тромбин-реагент (ПГ-9А)»: «Назначение: для анализаторов серии </w:t>
      </w:r>
      <w:r>
        <w:rPr>
          <w:lang w:val="en-US" w:eastAsia="en-US" w:bidi="en-US"/>
          <w:w w:val="100"/>
          <w:spacing w:val="0"/>
          <w:color w:val="000000"/>
          <w:position w:val="0"/>
        </w:rPr>
        <w:t>ACL».</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Одновременно с этим в составе второй части заявки Заявителя представлено регистрационное удостоверение (далее — РУ) №ФСР 2008/02267 от 23.09.2016 на предложенный к поставке товар, а именно: «Набор реагентов для определения тромбинового времени (ТРОМБИН-РЕАГЕНТ) по ТУ 9398-012</w:t>
        <w:softHyphen/>
        <w:t>05595541-2007, производства МБООИ «Общество больных гемофилией», Россия.</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В силу ч.3 ст.38 Федерального закона от 21.11.2011 № 323-ФЗ «Об основах охраны здоровья граждан в Российской Федерации» (далее — Закон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 составляющими право Евразийского экономического союза (ч.4 ст.38 Закон об основах охраны здоровья граждан).</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 декабря 2012 г. № 1416 (далее - Правила).</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Регистрационное удостоверение выдается бессрочно (пункт 6 Правил).</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 xml:space="preserve">На заседании Комиссии Управления представители Заказчика пояснили, что товар, продекларированный Заявителем к поставке, не является совместимым с оборудованием </w:t>
      </w:r>
      <w:r>
        <w:rPr>
          <w:rStyle w:val="CharStyle12"/>
        </w:rPr>
        <w:t>ACL</w:t>
      </w:r>
      <w:r>
        <w:rPr>
          <w:lang w:val="en-US" w:eastAsia="en-US" w:bidi="en-US"/>
          <w:w w:val="100"/>
          <w:spacing w:val="0"/>
          <w:color w:val="000000"/>
          <w:position w:val="0"/>
        </w:rPr>
        <w:t xml:space="preserve">, </w:t>
      </w:r>
      <w:r>
        <w:rPr>
          <w:lang w:val="ru-RU" w:eastAsia="ru-RU" w:bidi="ru-RU"/>
          <w:w w:val="100"/>
          <w:spacing w:val="0"/>
          <w:color w:val="000000"/>
          <w:position w:val="0"/>
        </w:rPr>
        <w:t>уже имеющимся у Заказчика.</w:t>
      </w:r>
    </w:p>
    <w:p>
      <w:pPr>
        <w:pStyle w:val="Style5"/>
        <w:tabs>
          <w:tab w:leader="none" w:pos="8698" w:val="left"/>
        </w:tabs>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В подтверждение своей позиции на заседание Комиссии Управления представители Заказчика представили письмо от 05.10.2021</w:t>
        <w:tab/>
        <w:t>№21-14 от</w:t>
      </w:r>
    </w:p>
    <w:p>
      <w:pPr>
        <w:pStyle w:val="Style5"/>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 xml:space="preserve">АО «Инструментэйшн Лаборатори», представляющее на территории Российской Федерации интересы группы компаний </w:t>
      </w:r>
      <w:r>
        <w:rPr>
          <w:lang w:val="en-US" w:eastAsia="en-US" w:bidi="en-US"/>
          <w:w w:val="100"/>
          <w:spacing w:val="0"/>
          <w:color w:val="000000"/>
          <w:position w:val="0"/>
        </w:rPr>
        <w:t xml:space="preserve">Werfen, </w:t>
      </w:r>
      <w:r>
        <w:rPr>
          <w:lang w:val="ru-RU" w:eastAsia="ru-RU" w:bidi="ru-RU"/>
          <w:w w:val="100"/>
          <w:spacing w:val="0"/>
          <w:color w:val="000000"/>
          <w:position w:val="0"/>
        </w:rPr>
        <w:t xml:space="preserve">согласно которому группа компаний </w:t>
      </w:r>
      <w:r>
        <w:rPr>
          <w:lang w:val="en-US" w:eastAsia="en-US" w:bidi="en-US"/>
          <w:w w:val="100"/>
          <w:spacing w:val="0"/>
          <w:color w:val="000000"/>
          <w:position w:val="0"/>
        </w:rPr>
        <w:t xml:space="preserve">Werfen </w:t>
      </w:r>
      <w:r>
        <w:rPr>
          <w:lang w:val="ru-RU" w:eastAsia="ru-RU" w:bidi="ru-RU"/>
          <w:w w:val="100"/>
          <w:spacing w:val="0"/>
          <w:color w:val="000000"/>
          <w:position w:val="0"/>
        </w:rPr>
        <w:t xml:space="preserve">не инициировала, не проводила и не валидировала испытаний по использованию каких-либо реагентов и расходных материалов производства МБООИ «Общество больных гемофилией». Вместе с тем при использовании реагентов и расходных материалов сторонних производителей совместно с аналитической платформой </w:t>
      </w:r>
      <w:r>
        <w:rPr>
          <w:lang w:val="en-US" w:eastAsia="en-US" w:bidi="en-US"/>
          <w:w w:val="100"/>
          <w:spacing w:val="0"/>
          <w:color w:val="000000"/>
          <w:position w:val="0"/>
        </w:rPr>
        <w:t xml:space="preserve">ACL </w:t>
      </w:r>
      <w:r>
        <w:rPr>
          <w:lang w:val="ru-RU" w:eastAsia="ru-RU" w:bidi="ru-RU"/>
          <w:w w:val="100"/>
          <w:spacing w:val="0"/>
          <w:color w:val="000000"/>
          <w:position w:val="0"/>
        </w:rPr>
        <w:t xml:space="preserve">компания </w:t>
      </w:r>
      <w:r>
        <w:rPr>
          <w:lang w:val="en-US" w:eastAsia="en-US" w:bidi="en-US"/>
          <w:w w:val="100"/>
          <w:spacing w:val="0"/>
          <w:color w:val="000000"/>
          <w:position w:val="0"/>
        </w:rPr>
        <w:t xml:space="preserve">Werfen </w:t>
      </w:r>
      <w:r>
        <w:rPr>
          <w:lang w:val="ru-RU" w:eastAsia="ru-RU" w:bidi="ru-RU"/>
          <w:w w:val="100"/>
          <w:spacing w:val="0"/>
          <w:color w:val="000000"/>
          <w:position w:val="0"/>
        </w:rPr>
        <w:t>не несет ответственности за получаемые в лаборатории результаты, а также за возможные клинические последствия для пациентов в результате некорректно назначенной терапии на основании данных результатов, поскольку в данном случае компания не может гарантировать ни безупречную работу оборудования, ни точность получаемых значений.</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Представители Заказчика пояснили, что необходимость наличия совместимости с уже имеющимся оборудованием у Заказчика обусловлена необходимостью использования исключительно одобренных производителем оборудования принадлежностей и расходных материалов, отвечающих требованиям безопасности, для исключения рисков причинения вреда здоровью пациентам и медицинскому персоналу, а также обеспечения эффективной работы медицинского оборудования.</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Также, согласно пояснениям представителей Заказчика, в соответствии с действующим законодательством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что впоследствии подтверждается выданным Росздравнадзором регистрационным удостоверением.</w:t>
      </w:r>
    </w:p>
    <w:p>
      <w:pPr>
        <w:pStyle w:val="Style5"/>
        <w:tabs>
          <w:tab w:leader="none" w:pos="577" w:val="left"/>
        </w:tabs>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Аналогичная позиция изложена в решении Верховного Суда РФ от 16.08.2021 №</w:t>
        <w:tab/>
        <w:t>АКПИ21-444 «Об отказе в удовлетворении заявления о признании</w:t>
      </w:r>
    </w:p>
    <w:p>
      <w:pPr>
        <w:pStyle w:val="Style5"/>
        <w:widowControl w:val="0"/>
        <w:keepNext w:val="0"/>
        <w:keepLines w:val="0"/>
        <w:shd w:val="clear" w:color="auto" w:fill="auto"/>
        <w:bidi w:val="0"/>
        <w:jc w:val="both"/>
        <w:spacing w:before="0" w:after="0" w:line="331" w:lineRule="exact"/>
        <w:ind w:left="20" w:right="0" w:firstLine="0"/>
      </w:pPr>
      <w:r>
        <w:rPr>
          <w:lang w:val="ru-RU" w:eastAsia="ru-RU" w:bidi="ru-RU"/>
          <w:w w:val="100"/>
          <w:spacing w:val="0"/>
          <w:color w:val="000000"/>
          <w:position w:val="0"/>
        </w:rPr>
        <w:t>недействующим письма Росздравнадзора от 05.02.2016 № 09-С-571-1414».</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Вместе с тем на заседании Комиссии Управления представителем Заявителя не представлено документов и сведений, свидетельствующие о нарушении аукционной комиссией Заказчика норм Закона о контрактной системе, а именно не представлено доказательств свидетельствующих о совместимости с аппаратом </w:t>
      </w:r>
      <w:r>
        <w:rPr>
          <w:lang w:val="en-US" w:eastAsia="en-US" w:bidi="en-US"/>
          <w:w w:val="100"/>
          <w:spacing w:val="0"/>
          <w:color w:val="000000"/>
          <w:position w:val="0"/>
        </w:rPr>
        <w:t xml:space="preserve">ACL </w:t>
      </w:r>
      <w:r>
        <w:rPr>
          <w:lang w:val="ru-RU" w:eastAsia="ru-RU" w:bidi="ru-RU"/>
          <w:w w:val="100"/>
          <w:spacing w:val="0"/>
          <w:color w:val="000000"/>
          <w:position w:val="0"/>
        </w:rPr>
        <w:t>комплектующих и расходных материалов иных производителей.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чч.1.1, 2 и 2.1 ст.31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у аукционной комиссии Заказчика имелись основания для признания заявки Заявителя несоответствующей требованиям законодательства о контрактной системе и, что решение аукционной комиссии Заказчика о признании заявки Заявителя несоответствующей является правомерным.</w:t>
      </w:r>
    </w:p>
    <w:p>
      <w:pPr>
        <w:pStyle w:val="Style5"/>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308"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жалобу МБООИ «Общество больных гемофилией» на действия аукционной комиссии ГБУЗ «ГКБ №40 ДЗМ» необоснованной.</w:t>
      </w:r>
    </w:p>
    <w:p>
      <w:pPr>
        <w:pStyle w:val="Style5"/>
        <w:numPr>
          <w:ilvl w:val="0"/>
          <w:numId w:val="5"/>
        </w:numPr>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15.10.2021 №ЕИ/63478/21.</w:t>
      </w:r>
    </w:p>
    <w:p>
      <w:pPr>
        <w:pStyle w:val="Style5"/>
        <w:widowControl w:val="0"/>
        <w:keepNext w:val="0"/>
        <w:keepLines w:val="0"/>
        <w:shd w:val="clear" w:color="auto" w:fill="auto"/>
        <w:bidi w:val="0"/>
        <w:jc w:val="both"/>
        <w:spacing w:before="0" w:after="43" w:line="322" w:lineRule="exact"/>
        <w:ind w:left="20" w:right="2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780" w:val="center"/>
          <w:tab w:leader="none" w:pos="1018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780" w:val="center"/>
          <w:tab w:leader="none" w:pos="1018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Е.О. Сгибнев</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Тел.8 (495)784-75-05</w:t>
      </w:r>
    </w:p>
    <w:sectPr>
      <w:footnotePr>
        <w:pos w:val="pageBottom"/>
        <w:numFmt w:val="decimal"/>
        <w:numRestart w:val="continuous"/>
      </w:footnotePr>
      <w:type w:val="continuous"/>
      <w:pgSz w:w="11906" w:h="16838"/>
      <w:pgMar w:top="1113"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10,5 pt,Полужирный"/>
    <w:basedOn w:val="CharStyle6"/>
    <w:rPr>
      <w:lang w:val="en-US" w:eastAsia="en-US" w:bidi="en-US"/>
      <w:b/>
      <w:bCs/>
      <w:sz w:val="21"/>
      <w:szCs w:val="21"/>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74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Владимир</dc:creator>
  <cp:keywords/>
</cp:coreProperties>
</file>