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184" w:h="250" w:wrap="none" w:vAnchor="text" w:hAnchor="margin" w:x="5227" w:y="865"/>
        <w:widowControl w:val="0"/>
        <w:keepNext w:val="0"/>
        <w:keepLines w:val="0"/>
        <w:shd w:val="clear" w:color="auto" w:fill="auto"/>
        <w:bidi w:val="0"/>
        <w:jc w:val="left"/>
        <w:spacing w:before="0" w:after="0" w:line="240" w:lineRule="exact"/>
        <w:ind w:left="100" w:right="0" w:firstLine="0"/>
      </w:pPr>
      <w:r>
        <w:rPr>
          <w:rStyle w:val="CharStyle4"/>
          <w:spacing w:val="0"/>
        </w:rPr>
        <w:t>ГКУ «Дирекция ЖКХиБ ЮВАО»</w:t>
      </w:r>
    </w:p>
    <w:p>
      <w:pPr>
        <w:pStyle w:val="Style5"/>
        <w:framePr w:w="3368" w:h="1350" w:wrap="none" w:vAnchor="text" w:hAnchor="margin" w:x="422" w:y="850"/>
        <w:widowControl w:val="0"/>
        <w:keepNext w:val="0"/>
        <w:keepLines w:val="0"/>
        <w:shd w:val="clear" w:color="auto" w:fill="auto"/>
        <w:bidi w:val="0"/>
        <w:spacing w:before="0" w:after="172"/>
        <w:ind w:left="0" w:right="20" w:firstLine="0"/>
      </w:pPr>
      <w:r>
        <w:rPr>
          <w:rStyle w:val="CharStyle7"/>
          <w:b/>
          <w:bCs/>
          <w:spacing w:val="0"/>
        </w:rPr>
        <w:t>ФЕДЕРАЛЬНАЯ АНТИМОНОПОЛЬНАЯ СЛУЖБА</w:t>
      </w:r>
    </w:p>
    <w:p>
      <w:pPr>
        <w:pStyle w:val="Style5"/>
        <w:framePr w:w="3368" w:h="1350" w:wrap="none" w:vAnchor="text" w:hAnchor="margin" w:x="422" w:y="850"/>
        <w:widowControl w:val="0"/>
        <w:keepNext w:val="0"/>
        <w:keepLines w:val="0"/>
        <w:shd w:val="clear" w:color="auto" w:fill="auto"/>
        <w:bidi w:val="0"/>
        <w:spacing w:before="0" w:after="260" w:line="170" w:lineRule="exact"/>
        <w:ind w:left="0" w:right="20" w:firstLine="0"/>
      </w:pPr>
      <w:r>
        <w:rPr>
          <w:rStyle w:val="CharStyle7"/>
          <w:b/>
          <w:bCs/>
          <w:spacing w:val="0"/>
        </w:rPr>
        <w:t>УПРАВЛЕ</w:t>
      </w:r>
      <w:r>
        <w:rPr>
          <w:rStyle w:val="CharStyle8"/>
          <w:b/>
          <w:bCs/>
          <w:spacing w:val="0"/>
        </w:rPr>
        <w:t>НИЕ</w:t>
      </w:r>
    </w:p>
    <w:p>
      <w:pPr>
        <w:pStyle w:val="Style5"/>
        <w:framePr w:w="3368" w:h="1350" w:wrap="none" w:vAnchor="text" w:hAnchor="margin" w:x="422" w:y="850"/>
        <w:widowControl w:val="0"/>
        <w:keepNext w:val="0"/>
        <w:keepLines w:val="0"/>
        <w:shd w:val="clear" w:color="auto" w:fill="auto"/>
        <w:bidi w:val="0"/>
        <w:spacing w:before="0" w:after="0" w:line="170" w:lineRule="exact"/>
        <w:ind w:left="0" w:right="20" w:firstLine="0"/>
      </w:pPr>
      <w:r>
        <w:rPr>
          <w:rStyle w:val="CharStyle7"/>
          <w:b/>
          <w:bCs/>
          <w:spacing w:val="0"/>
        </w:rPr>
        <w:t>по г. Москве</w:t>
      </w:r>
    </w:p>
    <w:p>
      <w:pPr>
        <w:pStyle w:val="Style3"/>
        <w:framePr w:w="4870" w:h="254" w:wrap="none" w:vAnchor="text" w:hAnchor="margin" w:x="5227" w:y="1503"/>
        <w:widowControl w:val="0"/>
        <w:keepNext w:val="0"/>
        <w:keepLines w:val="0"/>
        <w:shd w:val="clear" w:color="auto" w:fill="auto"/>
        <w:bidi w:val="0"/>
        <w:jc w:val="left"/>
        <w:spacing w:before="0" w:after="0" w:line="240" w:lineRule="exact"/>
        <w:ind w:left="100" w:right="0" w:firstLine="0"/>
      </w:pPr>
      <w:r>
        <w:rPr>
          <w:rStyle w:val="CharStyle4"/>
          <w:spacing w:val="0"/>
        </w:rPr>
        <w:t>ул. Трофимова, д. 15, г. Москва, 115432</w:t>
      </w:r>
    </w:p>
    <w:p>
      <w:pPr>
        <w:pStyle w:val="Style3"/>
        <w:framePr w:w="4779" w:h="250" w:wrap="none" w:vAnchor="text" w:hAnchor="margin" w:x="5227" w:y="2151"/>
        <w:widowControl w:val="0"/>
        <w:keepNext w:val="0"/>
        <w:keepLines w:val="0"/>
        <w:shd w:val="clear" w:color="auto" w:fill="auto"/>
        <w:bidi w:val="0"/>
        <w:jc w:val="left"/>
        <w:spacing w:before="0" w:after="0" w:line="240" w:lineRule="exact"/>
        <w:ind w:left="100" w:right="0" w:firstLine="0"/>
      </w:pPr>
      <w:r>
        <w:rPr>
          <w:rStyle w:val="CharStyle4"/>
          <w:spacing w:val="0"/>
        </w:rPr>
        <w:t>ГБУ «Автомобильные дороги ЮВАО»</w:t>
      </w:r>
    </w:p>
    <w:p>
      <w:pPr>
        <w:pStyle w:val="Style9"/>
        <w:framePr w:w="3910" w:h="883" w:wrap="none" w:vAnchor="text" w:hAnchor="margin" w:x="153" w:y="2397"/>
        <w:widowControl w:val="0"/>
        <w:keepNext w:val="0"/>
        <w:keepLines w:val="0"/>
        <w:shd w:val="clear" w:color="auto" w:fill="auto"/>
        <w:bidi w:val="0"/>
        <w:spacing w:before="0" w:after="0"/>
        <w:ind w:left="20" w:right="0" w:firstLine="0"/>
      </w:pPr>
      <w:r>
        <w:rPr>
          <w:rStyle w:val="CharStyle11"/>
          <w:spacing w:val="0"/>
        </w:rPr>
        <w:t xml:space="preserve">Мясницкий проезд, д.4, стр. 1 107078, г. Москва, тел. (495) 784-75-05, факс (495) 607-49-29 факс (495) 607-42-92, </w:t>
      </w:r>
      <w:r>
        <w:rPr>
          <w:rStyle w:val="CharStyle12"/>
          <w:spacing w:val="0"/>
        </w:rPr>
        <w:t>e-mail: to77@,fas.gov.ru</w:t>
      </w:r>
    </w:p>
    <w:p>
      <w:pPr>
        <w:pStyle w:val="Style3"/>
        <w:framePr w:w="3934" w:h="643" w:wrap="none" w:vAnchor="text" w:hAnchor="margin" w:x="5227" w:y="2730"/>
        <w:widowControl w:val="0"/>
        <w:keepNext w:val="0"/>
        <w:keepLines w:val="0"/>
        <w:shd w:val="clear" w:color="auto" w:fill="auto"/>
        <w:bidi w:val="0"/>
        <w:jc w:val="both"/>
        <w:spacing w:before="0" w:after="0" w:line="322" w:lineRule="exact"/>
        <w:ind w:left="100" w:right="100" w:firstLine="0"/>
      </w:pPr>
      <w:r>
        <w:rPr>
          <w:rStyle w:val="CharStyle4"/>
          <w:spacing w:val="0"/>
        </w:rPr>
        <w:t>ул. Нижние поля, д. 20Б, стр. 1, г. Москва, 109382</w:t>
      </w:r>
    </w:p>
    <w:p>
      <w:pPr>
        <w:pStyle w:val="Style13"/>
        <w:framePr w:w="387" w:h="162" w:wrap="none" w:vAnchor="text" w:hAnchor="margin" w:x="1934" w:y="3611"/>
        <w:widowControl w:val="0"/>
        <w:keepNext w:val="0"/>
        <w:keepLines w:val="0"/>
        <w:shd w:val="clear" w:color="auto" w:fill="auto"/>
        <w:bidi w:val="0"/>
        <w:jc w:val="left"/>
        <w:spacing w:before="0" w:after="0" w:line="160" w:lineRule="exact"/>
        <w:ind w:left="100" w:right="0" w:firstLine="0"/>
      </w:pPr>
      <w:r>
        <w:rPr>
          <w:rStyle w:val="CharStyle15"/>
        </w:rPr>
        <w:t>№</w:t>
      </w:r>
    </w:p>
    <w:p>
      <w:pPr>
        <w:pStyle w:val="Style3"/>
        <w:framePr w:w="2278" w:h="250" w:wrap="none" w:vAnchor="text" w:hAnchor="margin" w:x="5227" w:y="3759"/>
        <w:widowControl w:val="0"/>
        <w:keepNext w:val="0"/>
        <w:keepLines w:val="0"/>
        <w:shd w:val="clear" w:color="auto" w:fill="auto"/>
        <w:bidi w:val="0"/>
        <w:jc w:val="left"/>
        <w:spacing w:before="0" w:after="0" w:line="240" w:lineRule="exact"/>
        <w:ind w:left="100" w:right="0" w:firstLine="0"/>
      </w:pPr>
      <w:r>
        <w:rPr>
          <w:rStyle w:val="CharStyle4"/>
          <w:spacing w:val="0"/>
        </w:rPr>
        <w:t>ИП Гуньков А.М.</w:t>
      </w:r>
    </w:p>
    <w:p>
      <w:pPr>
        <w:pStyle w:val="Style16"/>
        <w:framePr w:w="632" w:h="161" w:wrap="none" w:vAnchor="text" w:hAnchor="margin" w:x="-39" w:y="4030"/>
        <w:widowControl w:val="0"/>
        <w:keepNext w:val="0"/>
        <w:keepLines w:val="0"/>
        <w:shd w:val="clear" w:color="auto" w:fill="auto"/>
        <w:bidi w:val="0"/>
        <w:jc w:val="left"/>
        <w:spacing w:before="0" w:after="0" w:line="160" w:lineRule="exact"/>
        <w:ind w:left="100" w:right="0" w:firstLine="0"/>
      </w:pPr>
      <w:r>
        <w:rPr>
          <w:rStyle w:val="CharStyle18"/>
          <w:spacing w:val="20"/>
        </w:rPr>
        <w:t>На№</w:t>
      </w:r>
    </w:p>
    <w:p>
      <w:pPr>
        <w:pStyle w:val="Style19"/>
        <w:framePr w:w="378" w:h="110" w:wrap="none" w:vAnchor="text" w:hAnchor="margin" w:x="1948" w:y="4103"/>
        <w:widowControl w:val="0"/>
        <w:keepNext w:val="0"/>
        <w:keepLines w:val="0"/>
        <w:shd w:val="clear" w:color="auto" w:fill="auto"/>
        <w:bidi w:val="0"/>
        <w:jc w:val="left"/>
        <w:spacing w:before="0" w:after="0" w:line="110" w:lineRule="exact"/>
        <w:ind w:left="100" w:right="0" w:firstLine="0"/>
      </w:pPr>
      <w:r>
        <w:rPr>
          <w:rStyle w:val="CharStyle21"/>
          <w:spacing w:val="0"/>
        </w:rPr>
        <w:t>ОТ</w:t>
      </w:r>
    </w:p>
    <w:p>
      <w:pPr>
        <w:pStyle w:val="Style3"/>
        <w:framePr w:w="4299" w:h="652" w:wrap="none" w:vAnchor="text" w:hAnchor="margin" w:x="5227" w:y="4334"/>
        <w:widowControl w:val="0"/>
        <w:keepNext w:val="0"/>
        <w:keepLines w:val="0"/>
        <w:shd w:val="clear" w:color="auto" w:fill="auto"/>
        <w:bidi w:val="0"/>
        <w:jc w:val="left"/>
        <w:spacing w:before="0" w:after="0" w:line="326" w:lineRule="exact"/>
        <w:ind w:left="100" w:right="100" w:firstLine="0"/>
      </w:pPr>
      <w:r>
        <w:rPr>
          <w:rStyle w:val="CharStyle4"/>
          <w:spacing w:val="0"/>
        </w:rPr>
        <w:t>Носовихинское ш., д. 18, кв. 21, г. Реутов, Московская обл., 143969</w:t>
      </w:r>
    </w:p>
    <w:p>
      <w:pPr>
        <w:pStyle w:val="Style22"/>
        <w:framePr w:w="469" w:h="310" w:wrap="none" w:vAnchor="text" w:hAnchor="margin" w:x="-53" w:y="4758"/>
        <w:widowControl w:val="0"/>
        <w:keepNext w:val="0"/>
        <w:keepLines w:val="0"/>
        <w:shd w:val="clear" w:color="auto" w:fill="auto"/>
        <w:bidi w:val="0"/>
        <w:jc w:val="left"/>
        <w:spacing w:before="0" w:after="0" w:line="280" w:lineRule="exact"/>
        <w:ind w:left="100" w:right="0" w:firstLine="0"/>
      </w:pPr>
      <w:r>
        <w:rPr>
          <w:rStyle w:val="CharStyle24"/>
        </w:rPr>
        <w:t>Г</w:t>
      </w:r>
    </w:p>
    <w:p>
      <w:pPr>
        <w:pStyle w:val="Style25"/>
        <w:framePr w:w="469" w:h="380" w:wrap="none" w:vAnchor="text" w:hAnchor="margin" w:x="3743" w:y="4708"/>
        <w:widowControl w:val="0"/>
        <w:keepNext w:val="0"/>
        <w:keepLines w:val="0"/>
        <w:shd w:val="clear" w:color="auto" w:fill="auto"/>
        <w:bidi w:val="0"/>
        <w:jc w:val="left"/>
        <w:spacing w:before="0" w:after="0" w:line="380" w:lineRule="exact"/>
        <w:ind w:left="100" w:right="0" w:firstLine="0"/>
      </w:pPr>
      <w:r>
        <w:rPr>
          <w:rStyle w:val="CharStyle27"/>
        </w:rPr>
        <w:t>П</w:t>
      </w:r>
    </w:p>
    <w:p>
      <w:pPr>
        <w:pStyle w:val="Style28"/>
        <w:framePr w:w="5970" w:h="969" w:wrap="none" w:vAnchor="text" w:hAnchor="margin" w:x="2155" w:y="5590"/>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 077/06/106-18671/2021 о нарушении законодательства о контрактной системе</w:t>
      </w:r>
    </w:p>
    <w:p>
      <w:pPr>
        <w:pStyle w:val="Style28"/>
        <w:framePr w:w="1438" w:h="240" w:wrap="none" w:vAnchor="text" w:hAnchor="margin" w:x="-68" w:y="6620"/>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20.10.2021</w:t>
      </w:r>
    </w:p>
    <w:p>
      <w:pPr>
        <w:pStyle w:val="Style28"/>
        <w:framePr w:w="1400" w:h="240" w:wrap="none" w:vAnchor="text" w:hAnchor="margin" w:x="8332" w:y="6625"/>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г. Москва</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700"/>
      </w:pPr>
      <w:r>
        <w:rPr>
          <w:rStyle w:val="CharStyle4"/>
          <w:spacing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700"/>
      </w:pPr>
      <w:r>
        <w:rPr>
          <w:rStyle w:val="CharStyle4"/>
          <w:spacing w:val="0"/>
        </w:rPr>
        <w:t>Заместителя председателя Комиссии — заместителя начальника отдела обжалования государственных закупок Д.С. Грешневой,</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0" w:firstLine="700"/>
      </w:pPr>
      <w:r>
        <w:rPr>
          <w:rStyle w:val="CharStyle4"/>
          <w:spacing w:val="0"/>
        </w:rPr>
        <w:t>Членов Комиссии:</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700"/>
      </w:pPr>
      <w:r>
        <w:rPr>
          <w:rStyle w:val="CharStyle4"/>
          <w:spacing w:val="0"/>
        </w:rPr>
        <w:t>Специалиста-эксперта отдела обжалования государственных закупок А.А. Матюшенко,</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700"/>
      </w:pPr>
      <w:r>
        <w:rPr>
          <w:rStyle w:val="CharStyle4"/>
          <w:spacing w:val="0"/>
        </w:rPr>
        <w:t>Специалиста-эксперта отдела обжалования государственных закупок П.А. Ступченко,</w:t>
      </w:r>
    </w:p>
    <w:p>
      <w:pPr>
        <w:pStyle w:val="Style3"/>
        <w:framePr w:w="10405" w:h="8049" w:wrap="none" w:vAnchor="text" w:hAnchor="margin" w:x="-73" w:y="6877"/>
        <w:tabs>
          <w:tab w:leader="none" w:pos="671" w:val="left"/>
        </w:tabs>
        <w:widowControl w:val="0"/>
        <w:keepNext w:val="0"/>
        <w:keepLines w:val="0"/>
        <w:shd w:val="clear" w:color="auto" w:fill="auto"/>
        <w:bidi w:val="0"/>
        <w:jc w:val="both"/>
        <w:spacing w:before="0" w:after="0" w:line="322" w:lineRule="exact"/>
        <w:ind w:left="100" w:right="120" w:firstLine="700"/>
      </w:pPr>
      <w:r>
        <w:rPr>
          <w:rStyle w:val="CharStyle4"/>
          <w:spacing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0"/>
      </w:pPr>
      <w:r>
        <w:rPr>
          <w:rStyle w:val="CharStyle4"/>
          <w:spacing w:val="0"/>
        </w:rPr>
        <w:t xml:space="preserve">и предупреждения распространения в городе Москве инфекции, вызванной коронавирусом </w:t>
      </w:r>
      <w:r>
        <w:rPr>
          <w:rStyle w:val="CharStyle4"/>
          <w:lang w:val="en-US" w:eastAsia="en-US" w:bidi="en-US"/>
          <w:spacing w:val="0"/>
        </w:rPr>
        <w:t>2019-nCoV.,</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700"/>
      </w:pPr>
      <w:r>
        <w:rPr>
          <w:rStyle w:val="CharStyle4"/>
          <w:spacing w:val="0"/>
        </w:rPr>
        <w:t>представители ИП Гуньков А.М.: Усова А.А. (дов. № 58 от 18.10.2021), ГБУ «Автомобильные дороги ЮВАО»: Маковецкий А.А. (дов. №809 от 18.10.2021), Филистович Ю.В. (дов. №751 от 03.03.2021) участвовали в заседании Комиссии Управления посредством конференц-связи,</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700"/>
      </w:pPr>
      <w:r>
        <w:rPr>
          <w:rStyle w:val="CharStyle4"/>
          <w:spacing w:val="0"/>
        </w:rPr>
        <w:t>в отсутствие представителей ГКУ «Дирекция ЖКХиБ ЮВАО», о времени и порядке заседания Комиссии Управления уведомлены надлежащим образом письмом Московского УФАС России от 15.10.2021 № ЕИ/53453/21,</w:t>
      </w:r>
    </w:p>
    <w:p>
      <w:pPr>
        <w:pStyle w:val="Style3"/>
        <w:framePr w:w="10405" w:h="8049" w:wrap="none" w:vAnchor="text" w:hAnchor="margin" w:x="-73" w:y="6877"/>
        <w:widowControl w:val="0"/>
        <w:keepNext w:val="0"/>
        <w:keepLines w:val="0"/>
        <w:shd w:val="clear" w:color="auto" w:fill="auto"/>
        <w:bidi w:val="0"/>
        <w:jc w:val="both"/>
        <w:spacing w:before="0" w:after="0" w:line="322" w:lineRule="exact"/>
        <w:ind w:left="100" w:right="120" w:firstLine="700"/>
      </w:pPr>
      <w:r>
        <w:rPr>
          <w:rStyle w:val="CharStyle4"/>
          <w:spacing w:val="0"/>
        </w:rPr>
        <w:t>рассмотрев жалобу ИП Гуньков А.М. (далее — Заявитель) на действия ГБУ «Автомобильные дороги ЮВАО» (далее — Заказчик) при проведении электронного аукциона на поставку запасных частей, узлов и агрегатов для ремонта автомобильной,</w:t>
      </w:r>
    </w:p>
    <w:p>
      <w:pPr>
        <w:pStyle w:val="Style30"/>
        <w:framePr w:w="1685" w:h="394" w:wrap="none" w:vAnchor="text" w:hAnchor="margin" w:x="375" w:y="151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001716764935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footnotePr>
            <w:pos w:val="pageBottom"/>
            <w:numFmt w:val="decimal"/>
            <w:numRestart w:val="continuous"/>
          </w:footnotePr>
          <w:type w:val="continuous"/>
          <w:pgSz w:w="11906" w:h="16838"/>
          <w:pgMar w:top="404" w:left="824" w:right="824" w:bottom="662" w:header="0" w:footer="3" w:gutter="0"/>
          <w:rtlGutter w:val="0"/>
          <w:cols w:space="720"/>
          <w:noEndnote/>
          <w:docGrid w:linePitch="360"/>
        </w:sectPr>
      </w:pP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тракторной и самоходной техники ГБУ «Автомобильные дороги ЮВАО» в 2021 году (среди СМП) (Закупка № 0373200041121001287)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w:t>
      </w:r>
      <w:r>
        <w:rPr>
          <w:rStyle w:val="CharStyle33"/>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3"/>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34"/>
        <w:widowControl w:val="0"/>
        <w:keepNext/>
        <w:keepLines/>
        <w:shd w:val="clear" w:color="auto" w:fill="auto"/>
        <w:bidi w:val="0"/>
        <w:spacing w:before="0" w:after="304"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ЕИ/53453/21 от 15.10.2021.</w:t>
      </w:r>
    </w:p>
    <w:p>
      <w:pPr>
        <w:pStyle w:val="Style3"/>
        <w:tabs>
          <w:tab w:leader="none" w:pos="5266" w:val="right"/>
          <w:tab w:leader="none" w:pos="5602" w:val="left"/>
        </w:tabs>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протоколу рассмотрения заявок на участие в электронном аукционе от 12.10.2021</w:t>
        <w:tab/>
        <w:t>№0373200041121001287-1</w:t>
        <w:tab/>
        <w:t>Заявителю, с идентификационным</w:t>
      </w:r>
    </w:p>
    <w:p>
      <w:pPr>
        <w:pStyle w:val="Style3"/>
        <w:tabs>
          <w:tab w:leader="none" w:pos="7143" w:val="lef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номером заявки 7, отказано в допуске к участию в аукционе на основании представления к поставке товара характеристики которого не соответствие требованиям аукционной документации, а именно:</w:t>
        <w:tab/>
        <w:t>«п. 2. ч. 4 ст. 67 -</w:t>
      </w:r>
    </w:p>
    <w:p>
      <w:pPr>
        <w:pStyle w:val="Style3"/>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несоответствие информации, предусмотренной ч. 3 ст. 66 44-ФЗ, требованиям документации о таком аукционе: В п. 181 «АКБ боковые выводы 45 А/Ч» заявки участником по параметру «Длина крышки» представлено значение «230 мм», а по параметру «Ширина батареи» представлено значение «186 мм», что не соответствует ГОСТ Р МЭК 60095-2-2010, требование на соответствие которому установлено аукционной документацией для «АКБ боковые выводы тип 1». В соответствии ГОСТ Р МЭК 60095-2-2010 боковые выводы имеют только североамериканские АКБ серии (АМ), следующих типов: 75, 78, 100. В соответствии с Таблицей 5 ГОСТ Р МЭК 60095-2-2010 АКБ с боковыми выводами и длинной крышки 230 мм относится к типу 75 и должна иметь ширину от 176 мм до 180 мм».</w:t>
      </w:r>
    </w:p>
    <w:p>
      <w:pPr>
        <w:pStyle w:val="Style3"/>
        <w:widowControl w:val="0"/>
        <w:keepNext w:val="0"/>
        <w:keepLines w:val="0"/>
        <w:shd w:val="clear" w:color="auto" w:fill="auto"/>
        <w:bidi w:val="0"/>
        <w:jc w:val="both"/>
        <w:spacing w:before="0" w:after="0" w:line="326" w:lineRule="exact"/>
        <w:ind w:left="20" w:right="20" w:firstLine="680"/>
        <w:sectPr>
          <w:pgSz w:w="11906" w:h="16838"/>
          <w:pgMar w:top="1269" w:left="848" w:right="848" w:bottom="1226" w:header="0" w:footer="3" w:gutter="0"/>
          <w:rtlGutter w:val="0"/>
          <w:cols w:space="720"/>
          <w:noEndnote/>
          <w:docGrid w:linePitch="360"/>
        </w:sectPr>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Техническим заданием аукционной документации установлены требования к характеристикам необходимых товаров, в том числе по позиции 181 «АКБ боковые выводы 45 А/Ч»: «Высота до крышки: &lt;186 мм», «Ширина батареи: &gt;175 мм», «Длина крышки: &lt;260 мм».</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Также инструкцией по предоставлению сведений в первой части заявки на участие в электронном аукционе о конкретных показателях установлено:</w:t>
      </w:r>
    </w:p>
    <w:p>
      <w:pPr>
        <w:pStyle w:val="Style3"/>
        <w:tabs>
          <w:tab w:leader="none" w:pos="1861" w:val="left"/>
          <w:tab w:leader="none" w:pos="2417" w:val="left"/>
          <w:tab w:leader="none" w:pos="10181" w:val="right"/>
          <w:tab w:leader="none" w:pos="10166"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Символ</w:t>
        <w:tab/>
        <w:t>«&gt;»</w:t>
        <w:tab/>
        <w:t>-</w:t>
        <w:tab/>
        <w:t>означает, что</w:t>
        <w:tab/>
        <w:t>участнику следует предоставить в заявке</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конкретный показатель, более указанного значения или равный ему.</w:t>
      </w:r>
    </w:p>
    <w:p>
      <w:pPr>
        <w:pStyle w:val="Style3"/>
        <w:tabs>
          <w:tab w:leader="none" w:pos="1861" w:val="left"/>
          <w:tab w:leader="none" w:pos="2417" w:val="left"/>
          <w:tab w:leader="none" w:pos="4548" w:val="right"/>
          <w:tab w:leader="none" w:pos="10181"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Символ</w:t>
        <w:tab/>
        <w:t>«&lt;»</w:t>
        <w:tab/>
        <w:t>-</w:t>
        <w:tab/>
        <w:t>означает, что</w:t>
        <w:tab/>
        <w:t>участнику следует предоставить в заявке</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конкретный показатель, менее указанного значения или равный ему.</w:t>
      </w:r>
    </w:p>
    <w:p>
      <w:pPr>
        <w:pStyle w:val="Style3"/>
        <w:tabs>
          <w:tab w:leader="none" w:pos="1861" w:val="left"/>
          <w:tab w:leader="none" w:pos="2417" w:val="left"/>
          <w:tab w:leader="none" w:pos="4548" w:val="right"/>
          <w:tab w:leader="none" w:pos="10181"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Кроме</w:t>
        <w:tab/>
        <w:t>того</w:t>
        <w:tab/>
        <w:t>в</w:t>
        <w:tab/>
        <w:t>аукционной</w:t>
        <w:tab/>
        <w:t>документации установлено требование о</w:t>
      </w:r>
    </w:p>
    <w:p>
      <w:pPr>
        <w:pStyle w:val="Style3"/>
        <w:tabs>
          <w:tab w:leader="none" w:pos="1861" w:val="left"/>
          <w:tab w:leader="none" w:pos="10181" w:val="righ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соответствии</w:t>
        <w:tab/>
        <w:t>поставляемого товара,</w:t>
        <w:tab/>
        <w:t>в том числе, ГОСТ Р МЭК 60095-2-2010</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«Батареи стартерные свинцово-кислотные» (далее - ГОСТ 60095-2-2010).</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Комиссией Управления установлено, что в составе первой части заявки на участие в аукционе участник закупки выразил согласие на поставку товара на условиях аукционной документации, а также представил конкретные сведения о товарах, в том числе по позиции 181 «АКБ боковые выводы 45 А/Ч» представлены, в частности, следующие сведения: : «Высота до крышки: 180 мм», «Ширина батареи: 186 мм», «Длина крышки: 230 мм».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представленный в составе заявки Заявителя товар не соответствует ГОСТ 60095-2</w:t>
        <w:softHyphen/>
        <w:t>2010, так как представленный показатель параметра «Ширина батареи» по позиции 181 «АКБ боковые выводы 45 А/Ч», при указанном показателе параметра «Длина крышки», не соответствует положениями ГОСТ 60095-2-2010.</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таблице №5 «Основные размеры батарей» ГОСТ 60095-2-2010 длине батареи 230 мм соответствует ширина батареи 180 мм, либо 173 мм (допускается отклонение в меньшую сторону до 4 мм, включительно), вместе с этим Заявителем в составе заявки на участие в аукционе указываются параметры «Длина крышки: 230 мм», «Ширина батареи: 186 мм», что не соответствует требованиям ГОСТ ГОСТ 60095-2-2010.</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Заявителя пояснил, что требование о представлении сведений о параметре «Ширина батареи» по позиции 181 «АКБ боковые выводы 45 А/Ч» установлено заказчиком неправомерно, ввиду чего отклонение заявки по основанию указанном в протоколе рассмотрения первых частей является неправомерным.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в обоснование своих доводов Заявитель указывает на то, что аукционная документация сформирована в нарушение положений Закона о контрактной системе, в частности, что Заказчиком неправомерно сформированы требования к поставляемым товарам.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указанный довод не может быть рассмотрен Комиссией Управления при рассмотрении жалобы на действия аукционной комиссии Заказчика, так как обжалование положений аукционной документации возможно согласно ч.4 ст.105 Закона о контрактной системе до окончания срока подачи заявок на участие в электронном аукционе, а не на этапе их рассмотрения.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в установленные сроки Заявитель не воспользовался своим правом и не обжаловал положения аукционной документации, а также не подавал Заказчику запрос о даче разъяснений положений аукционной документации в соответствии с</w:t>
      </w:r>
    </w:p>
    <w:p>
      <w:pPr>
        <w:pStyle w:val="Style3"/>
        <w:numPr>
          <w:ilvl w:val="0"/>
          <w:numId w:val="1"/>
        </w:numPr>
        <w:tabs>
          <w:tab w:leader="none" w:pos="510"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ст.65 Закона о контрактной системе, что указывает на то, что, выражая свое согласие на поставку товара на условиях, установленных аукционной документацией при подаче заявки на участие в электронном аукционе, Заявитель был согласен со всеми установленными Заказчиком требованиями.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Вместе с тем, предложение Заявителя не соответствует требованиям аукционной документации и Закону о контрактной системе, поскольку участником закупки указаны не соответствующие ГОСТ 60095-2-2010 характеристики товара по п.181 «АКБ боковые выводы 45 А/Ч».</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основании вышеизложенного, у Комиссии Управления отсутствуют правовые основания для признания аукционной комиссии Заказчика нарушившей требования Закона о контрактной системе.</w:t>
      </w:r>
    </w:p>
    <w:p>
      <w:pPr>
        <w:pStyle w:val="Style3"/>
        <w:tabs>
          <w:tab w:leader="none" w:pos="7859" w:val="right"/>
          <w:tab w:leader="none" w:pos="10161"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В</w:t>
        <w:tab/>
        <w:t>соответствии ч.4 ст. 67 Закона о контрактной</w:t>
        <w:tab/>
        <w:t>системе участник</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электронного аукциона не допускается к участию в нем в случае:</w:t>
      </w:r>
    </w:p>
    <w:p>
      <w:pPr>
        <w:pStyle w:val="Style3"/>
        <w:numPr>
          <w:ilvl w:val="0"/>
          <w:numId w:val="3"/>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3"/>
        </w:numPr>
        <w:tabs>
          <w:tab w:leader="none" w:pos="10161" w:val="right"/>
          <w:tab w:leader="none" w:pos="10170"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несоответствия информации, предусмотренной ч.3</w:t>
        <w:tab/>
        <w:t>ст. 66 Закона о</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контрактной системе, требованиям документации о таком аукционе.</w:t>
      </w:r>
    </w:p>
    <w:p>
      <w:pPr>
        <w:pStyle w:val="Style3"/>
        <w:tabs>
          <w:tab w:leader="none" w:pos="7859" w:val="right"/>
          <w:tab w:leader="none" w:pos="10161" w:val="righ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соответствие с ч.5 ст.67 Закона о контрактной системе отказ в допуске к участию</w:t>
        <w:tab/>
        <w:t>в электронном аукционе по основаниям, не</w:t>
        <w:tab/>
        <w:t>предусмотренным</w:t>
      </w:r>
    </w:p>
    <w:p>
      <w:pPr>
        <w:pStyle w:val="Style3"/>
        <w:numPr>
          <w:ilvl w:val="0"/>
          <w:numId w:val="1"/>
        </w:numPr>
        <w:tabs>
          <w:tab w:leader="none" w:pos="531"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ст. 67 Закона о контрактной системе, не допускается.</w:t>
      </w:r>
    </w:p>
    <w:p>
      <w:pPr>
        <w:pStyle w:val="Style3"/>
        <w:tabs>
          <w:tab w:leader="none" w:pos="10161" w:val="righ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Таким образом, Комиссия Управления приходит</w:t>
        <w:tab/>
        <w:t>к выводу, что</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3"/>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34"/>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Признать жалобу ИП Гуньков А.М. на действия аукционной комиссии ГБУ «Автомобильные дороги ЮВАО» необоснованной.</w:t>
      </w:r>
    </w:p>
    <w:p>
      <w:pPr>
        <w:pStyle w:val="Style3"/>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Жалобу в части обжалования положений аукционной документации оставить без рассмотрения в соответствии ч.4 ст. 105 Закона о контрактной системе.</w:t>
      </w:r>
    </w:p>
    <w:p>
      <w:pPr>
        <w:pStyle w:val="Style3"/>
        <w:numPr>
          <w:ilvl w:val="0"/>
          <w:numId w:val="5"/>
        </w:numPr>
        <w:widowControl w:val="0"/>
        <w:keepNext w:val="0"/>
        <w:keepLines w:val="0"/>
        <w:shd w:val="clear" w:color="auto" w:fill="auto"/>
        <w:bidi w:val="0"/>
        <w:jc w:val="both"/>
        <w:spacing w:before="0" w:after="300" w:line="322" w:lineRule="exact"/>
        <w:ind w:left="0" w:right="20" w:firstLine="70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ЕИ/53453/21 от 15.10.2021.</w:t>
      </w:r>
    </w:p>
    <w:p>
      <w:pPr>
        <w:pStyle w:val="Style3"/>
        <w:widowControl w:val="0"/>
        <w:keepNext w:val="0"/>
        <w:keepLines w:val="0"/>
        <w:shd w:val="clear" w:color="auto" w:fill="auto"/>
        <w:bidi w:val="0"/>
        <w:jc w:val="both"/>
        <w:spacing w:before="0" w:after="47"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tabs>
          <w:tab w:leader="none" w:pos="8851" w:val="right"/>
          <w:tab w:leader="none" w:pos="10161"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10161" w:val="right"/>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П.А.</w:t>
        <w:tab/>
        <w:t>Ступченко</w:t>
      </w:r>
    </w:p>
    <w:p>
      <w:pPr>
        <w:pStyle w:val="Style3"/>
        <w:widowControl w:val="0"/>
        <w:keepNext w:val="0"/>
        <w:keepLines w:val="0"/>
        <w:shd w:val="clear" w:color="auto" w:fill="auto"/>
        <w:bidi w:val="0"/>
        <w:jc w:val="right"/>
        <w:spacing w:before="0" w:after="531" w:line="638" w:lineRule="exact"/>
        <w:ind w:left="0" w:right="20" w:firstLine="0"/>
      </w:pPr>
      <w:r>
        <w:rPr>
          <w:lang w:val="ru-RU" w:eastAsia="ru-RU" w:bidi="ru-RU"/>
          <w:w w:val="100"/>
          <w:spacing w:val="0"/>
          <w:color w:val="000000"/>
          <w:position w:val="0"/>
        </w:rPr>
        <w:t>А.А. Матюшенко</w:t>
      </w:r>
    </w:p>
    <w:p>
      <w:pPr>
        <w:pStyle w:val="Style36"/>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 Матюшенко А.А., 8(495) 784-75-05</w:t>
      </w:r>
    </w:p>
    <w:sectPr>
      <w:type w:val="continuous"/>
      <w:pgSz w:w="11906" w:h="16838"/>
      <w:pgMar w:top="1267" w:left="848" w:right="848" w:bottom="11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3"/>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2) Exact"/>
    <w:basedOn w:val="DefaultParagraphFont"/>
    <w:link w:val="Style5"/>
    <w:rPr>
      <w:b/>
      <w:bCs/>
      <w:i w:val="0"/>
      <w:iCs w:val="0"/>
      <w:u w:val="none"/>
      <w:strike w:val="0"/>
      <w:smallCaps w:val="0"/>
      <w:sz w:val="17"/>
      <w:szCs w:val="17"/>
      <w:rFonts w:ascii="Times New Roman" w:eastAsia="Times New Roman" w:hAnsi="Times New Roman" w:cs="Times New Roman"/>
      <w:spacing w:val="2"/>
    </w:rPr>
  </w:style>
  <w:style w:type="character" w:customStyle="1" w:styleId="CharStyle7">
    <w:name w:val="Основной текст (2) Exact"/>
    <w:basedOn w:val="CharStyle6"/>
    <w:rPr>
      <w:lang w:val="ru-RU" w:eastAsia="ru-RU" w:bidi="ru-RU"/>
      <w:w w:val="100"/>
      <w:color w:val="000000"/>
      <w:position w:val="0"/>
    </w:rPr>
  </w:style>
  <w:style w:type="character" w:customStyle="1" w:styleId="CharStyle8">
    <w:name w:val="Основной текст (2) Exact"/>
    <w:basedOn w:val="CharStyle6"/>
    <w:rPr>
      <w:lang w:val="ru-RU" w:eastAsia="ru-RU" w:bidi="ru-RU"/>
      <w:u w:val="single"/>
      <w:w w:val="100"/>
      <w:color w:val="000000"/>
      <w:position w:val="0"/>
    </w:rPr>
  </w:style>
  <w:style w:type="character" w:customStyle="1" w:styleId="CharStyle10">
    <w:name w:val="Основной текст (3) Exact"/>
    <w:basedOn w:val="DefaultParagraphFont"/>
    <w:link w:val="Style9"/>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1">
    <w:name w:val="Основной текст (3) Exact"/>
    <w:basedOn w:val="CharStyle10"/>
    <w:rPr>
      <w:lang w:val="ru-RU" w:eastAsia="ru-RU" w:bidi="ru-RU"/>
      <w:w w:val="100"/>
      <w:color w:val="000000"/>
      <w:position w:val="0"/>
    </w:rPr>
  </w:style>
  <w:style w:type="character" w:customStyle="1" w:styleId="CharStyle12">
    <w:name w:val="Основной текст (3) Exact"/>
    <w:basedOn w:val="CharStyle10"/>
    <w:rPr>
      <w:lang w:val="en-US" w:eastAsia="en-US" w:bidi="en-US"/>
      <w:u w:val="single"/>
      <w:w w:val="100"/>
      <w:color w:val="000000"/>
      <w:position w:val="0"/>
    </w:rPr>
  </w:style>
  <w:style w:type="character" w:customStyle="1" w:styleId="CharStyle14">
    <w:name w:val="Основной текст (4) Exact"/>
    <w:basedOn w:val="DefaultParagraphFont"/>
    <w:link w:val="Style13"/>
    <w:rPr>
      <w:b w:val="0"/>
      <w:bCs w:val="0"/>
      <w:i w:val="0"/>
      <w:iCs w:val="0"/>
      <w:u w:val="none"/>
      <w:strike w:val="0"/>
      <w:smallCaps w:val="0"/>
      <w:sz w:val="16"/>
      <w:szCs w:val="16"/>
      <w:rFonts w:ascii="Tahoma" w:eastAsia="Tahoma" w:hAnsi="Tahoma" w:cs="Tahoma"/>
    </w:rPr>
  </w:style>
  <w:style w:type="character" w:customStyle="1" w:styleId="CharStyle15">
    <w:name w:val="Основной текст (4) Exact"/>
    <w:basedOn w:val="CharStyle14"/>
    <w:rPr>
      <w:lang w:val="ru-RU" w:eastAsia="ru-RU" w:bidi="ru-RU"/>
      <w:w w:val="100"/>
      <w:spacing w:val="0"/>
      <w:color w:val="000000"/>
      <w:position w:val="0"/>
    </w:rPr>
  </w:style>
  <w:style w:type="character" w:customStyle="1" w:styleId="CharStyle17">
    <w:name w:val="Основной текст (5) Exact"/>
    <w:basedOn w:val="DefaultParagraphFont"/>
    <w:link w:val="Style16"/>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8">
    <w:name w:val="Основной текст (5) Exact"/>
    <w:basedOn w:val="CharStyle17"/>
    <w:rPr>
      <w:lang w:val="ru-RU" w:eastAsia="ru-RU" w:bidi="ru-RU"/>
      <w:w w:val="100"/>
      <w:color w:val="000000"/>
      <w:position w:val="0"/>
    </w:rPr>
  </w:style>
  <w:style w:type="character" w:customStyle="1" w:styleId="CharStyle20">
    <w:name w:val="Основной текст (6) Exact"/>
    <w:basedOn w:val="DefaultParagraphFont"/>
    <w:link w:val="Style19"/>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1">
    <w:name w:val="Основной текст (6) Exact"/>
    <w:basedOn w:val="CharStyle20"/>
    <w:rPr>
      <w:lang w:val="ru-RU" w:eastAsia="ru-RU" w:bidi="ru-RU"/>
      <w:color w:val="000000"/>
      <w:position w:val="0"/>
    </w:rPr>
  </w:style>
  <w:style w:type="character" w:customStyle="1" w:styleId="CharStyle23">
    <w:name w:val="Основной текст (7) Exact"/>
    <w:basedOn w:val="DefaultParagraphFont"/>
    <w:link w:val="Style22"/>
    <w:rPr>
      <w:b w:val="0"/>
      <w:bCs w:val="0"/>
      <w:i w:val="0"/>
      <w:iCs w:val="0"/>
      <w:u w:val="none"/>
      <w:strike w:val="0"/>
      <w:smallCaps w:val="0"/>
      <w:sz w:val="28"/>
      <w:szCs w:val="28"/>
      <w:rFonts w:ascii="Tahoma" w:eastAsia="Tahoma" w:hAnsi="Tahoma" w:cs="Tahoma"/>
      <w:w w:val="200"/>
    </w:rPr>
  </w:style>
  <w:style w:type="character" w:customStyle="1" w:styleId="CharStyle24">
    <w:name w:val="Основной текст (7) Exact"/>
    <w:basedOn w:val="CharStyle23"/>
    <w:rPr>
      <w:lang w:val="ru-RU" w:eastAsia="ru-RU" w:bidi="ru-RU"/>
      <w:spacing w:val="0"/>
      <w:color w:val="000000"/>
      <w:position w:val="0"/>
    </w:rPr>
  </w:style>
  <w:style w:type="character" w:customStyle="1" w:styleId="CharStyle26">
    <w:name w:val="Основной текст (8) Exact"/>
    <w:basedOn w:val="DefaultParagraphFont"/>
    <w:link w:val="Style25"/>
    <w:rPr>
      <w:b w:val="0"/>
      <w:bCs w:val="0"/>
      <w:i w:val="0"/>
      <w:iCs w:val="0"/>
      <w:u w:val="none"/>
      <w:strike w:val="0"/>
      <w:smallCaps w:val="0"/>
      <w:sz w:val="38"/>
      <w:szCs w:val="38"/>
      <w:rFonts w:ascii="Times New Roman" w:eastAsia="Times New Roman" w:hAnsi="Times New Roman" w:cs="Times New Roman"/>
    </w:rPr>
  </w:style>
  <w:style w:type="character" w:customStyle="1" w:styleId="CharStyle27">
    <w:name w:val="Основной текст (8) Exact"/>
    <w:basedOn w:val="CharStyle26"/>
    <w:rPr>
      <w:lang w:val="ru-RU" w:eastAsia="ru-RU" w:bidi="ru-RU"/>
      <w:w w:val="100"/>
      <w:spacing w:val="0"/>
      <w:color w:val="000000"/>
      <w:position w:val="0"/>
    </w:rPr>
  </w:style>
  <w:style w:type="character" w:customStyle="1" w:styleId="CharStyle29">
    <w:name w:val="Основной текст (9) Exact"/>
    <w:basedOn w:val="DefaultParagraphFont"/>
    <w:link w:val="Style28"/>
    <w:rPr>
      <w:b/>
      <w:bCs/>
      <w:i w:val="0"/>
      <w:iCs w:val="0"/>
      <w:u w:val="none"/>
      <w:strike w:val="0"/>
      <w:smallCaps w:val="0"/>
      <w:rFonts w:ascii="Times New Roman" w:eastAsia="Times New Roman" w:hAnsi="Times New Roman" w:cs="Times New Roman"/>
      <w:spacing w:val="1"/>
    </w:rPr>
  </w:style>
  <w:style w:type="character" w:customStyle="1" w:styleId="CharStyle31">
    <w:name w:val="Штрих-код (2)_"/>
    <w:basedOn w:val="DefaultParagraphFont"/>
    <w:link w:val="Style3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2">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w:basedOn w:val="CharStyle32"/>
    <w:rPr>
      <w:lang w:val="ru-RU" w:eastAsia="ru-RU" w:bidi="ru-RU"/>
      <w:u w:val="single"/>
      <w:w w:val="100"/>
      <w:spacing w:val="0"/>
      <w:color w:val="000000"/>
      <w:position w:val="0"/>
    </w:rPr>
  </w:style>
  <w:style w:type="character" w:customStyle="1" w:styleId="CharStyle35">
    <w:name w:val="Заголовок №1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7">
    <w:name w:val="Основной текст (10)_"/>
    <w:basedOn w:val="DefaultParagraphFont"/>
    <w:link w:val="Style36"/>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3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9">
    <w:name w:val="Основной текст (3)"/>
    <w:basedOn w:val="Normal"/>
    <w:link w:val="CharStyle10"/>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3">
    <w:name w:val="Основной текст (4)"/>
    <w:basedOn w:val="Normal"/>
    <w:link w:val="CharStyle14"/>
    <w:pPr>
      <w:widowControl w:val="0"/>
      <w:shd w:val="clear" w:color="auto" w:fill="FFFFFF"/>
      <w:spacing w:line="0" w:lineRule="exact"/>
    </w:pPr>
    <w:rPr>
      <w:b w:val="0"/>
      <w:bCs w:val="0"/>
      <w:i w:val="0"/>
      <w:iCs w:val="0"/>
      <w:u w:val="none"/>
      <w:strike w:val="0"/>
      <w:smallCaps w:val="0"/>
      <w:sz w:val="16"/>
      <w:szCs w:val="16"/>
      <w:rFonts w:ascii="Tahoma" w:eastAsia="Tahoma" w:hAnsi="Tahoma" w:cs="Tahoma"/>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2">
    <w:name w:val="Основной текст (7)"/>
    <w:basedOn w:val="Normal"/>
    <w:link w:val="CharStyle23"/>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5">
    <w:name w:val="Основной текст (8)"/>
    <w:basedOn w:val="Normal"/>
    <w:link w:val="CharStyle26"/>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28">
    <w:name w:val="Основной текст (9)"/>
    <w:basedOn w:val="Normal"/>
    <w:link w:val="CharStyle29"/>
    <w:pPr>
      <w:widowControl w:val="0"/>
      <w:shd w:val="clear" w:color="auto" w:fill="FFFFFF"/>
      <w:jc w:val="center"/>
      <w:spacing w:line="322" w:lineRule="exact"/>
    </w:pPr>
    <w:rPr>
      <w:b/>
      <w:bCs/>
      <w:i w:val="0"/>
      <w:iCs w:val="0"/>
      <w:u w:val="none"/>
      <w:strike w:val="0"/>
      <w:smallCaps w:val="0"/>
      <w:rFonts w:ascii="Times New Roman" w:eastAsia="Times New Roman" w:hAnsi="Times New Roman" w:cs="Times New Roman"/>
      <w:spacing w:val="1"/>
    </w:rPr>
  </w:style>
  <w:style w:type="paragraph" w:customStyle="1" w:styleId="Style30">
    <w:name w:val="Штрих-код (2)"/>
    <w:basedOn w:val="Normal"/>
    <w:link w:val="CharStyle3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6">
    <w:name w:val="Основной текст (10)"/>
    <w:basedOn w:val="Normal"/>
    <w:link w:val="CharStyle37"/>
    <w:pPr>
      <w:widowControl w:val="0"/>
      <w:shd w:val="clear" w:color="auto" w:fill="FFFFFF"/>
      <w:jc w:val="both"/>
      <w:spacing w:before="18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