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240"/>
        <w:ind w:left="5320" w:right="220" w:firstLine="0"/>
      </w:pPr>
      <w:r>
        <w:rPr>
          <w:lang w:val="ru-RU" w:eastAsia="ru-RU" w:bidi="ru-RU"/>
          <w:w w:val="100"/>
          <w:spacing w:val="0"/>
          <w:color w:val="000000"/>
          <w:position w:val="0"/>
        </w:rPr>
        <w:t xml:space="preserve">ФКУ «Налог-Сервис» ФНС России 125373, Москва, Походный пр., д.3, к. 3 </w:t>
      </w:r>
      <w:r>
        <w:fldChar w:fldCharType="begin"/>
      </w:r>
      <w:r>
        <w:rPr>
          <w:color w:val="000000"/>
        </w:rPr>
        <w:instrText> HYPERLINK "mailto:asmimova@service-nalog.ru" </w:instrText>
      </w:r>
      <w:r>
        <w:fldChar w:fldCharType="separate"/>
      </w:r>
      <w:r>
        <w:rPr>
          <w:rStyle w:val="Hyperlink"/>
          <w:lang w:val="en-US" w:eastAsia="en-US" w:bidi="en-US"/>
          <w:w w:val="100"/>
          <w:spacing w:val="0"/>
          <w:position w:val="0"/>
        </w:rPr>
        <w:t>asmimova@service-nalog.ru</w:t>
      </w:r>
      <w:r>
        <w:fldChar w:fldCharType="end"/>
      </w:r>
    </w:p>
    <w:p>
      <w:pPr>
        <w:pStyle w:val="Style3"/>
        <w:widowControl w:val="0"/>
        <w:keepNext w:val="0"/>
        <w:keepLines w:val="0"/>
        <w:shd w:val="clear" w:color="auto" w:fill="auto"/>
        <w:bidi w:val="0"/>
        <w:jc w:val="left"/>
        <w:spacing w:before="0" w:after="0"/>
        <w:ind w:left="5320" w:right="0" w:firstLine="0"/>
      </w:pPr>
      <w:r>
        <w:rPr>
          <w:lang w:val="ru-RU" w:eastAsia="ru-RU" w:bidi="ru-RU"/>
          <w:w w:val="100"/>
          <w:spacing w:val="0"/>
          <w:color w:val="000000"/>
          <w:position w:val="0"/>
        </w:rPr>
        <w:t>ООО «Грос Комп»</w:t>
      </w:r>
    </w:p>
    <w:p>
      <w:pPr>
        <w:pStyle w:val="Style3"/>
        <w:widowControl w:val="0"/>
        <w:keepNext w:val="0"/>
        <w:keepLines w:val="0"/>
        <w:shd w:val="clear" w:color="auto" w:fill="auto"/>
        <w:bidi w:val="0"/>
        <w:jc w:val="left"/>
        <w:spacing w:before="0" w:after="289"/>
        <w:ind w:left="5320" w:right="220" w:firstLine="0"/>
      </w:pPr>
      <w:r>
        <w:rPr>
          <w:lang w:val="ru-RU" w:eastAsia="ru-RU" w:bidi="ru-RU"/>
          <w:w w:val="100"/>
          <w:spacing w:val="0"/>
          <w:color w:val="000000"/>
          <w:position w:val="0"/>
        </w:rPr>
        <w:t xml:space="preserve">125167, РОССИЯ, МОСКВА Г., МУНИЦИПАЛЬНЫЙ ОКРУГ АЭРОПОРТ ВН.ТЕР.Г., 4-Я 8 МАРТА УЛ., Д. 6А, ПОМЕЩ. VII, КОМ. 36 </w:t>
      </w:r>
      <w:r>
        <w:fldChar w:fldCharType="begin"/>
      </w:r>
      <w:r>
        <w:rPr>
          <w:color w:val="000000"/>
        </w:rPr>
        <w:instrText> HYPERLINK "mailto:info@groscomp.ru" </w:instrText>
      </w:r>
      <w:r>
        <w:fldChar w:fldCharType="separate"/>
      </w:r>
      <w:r>
        <w:rPr>
          <w:rStyle w:val="Hyperlink"/>
          <w:lang w:val="en-US" w:eastAsia="en-US" w:bidi="en-US"/>
          <w:w w:val="100"/>
          <w:spacing w:val="0"/>
          <w:position w:val="0"/>
        </w:rPr>
        <w:t>info@groscomp.ru</w:t>
      </w:r>
      <w:r>
        <w:fldChar w:fldCharType="end"/>
      </w:r>
    </w:p>
    <w:p>
      <w:pPr>
        <w:pStyle w:val="Style3"/>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АО «Сбербанк-АСТ»</w:t>
      </w:r>
    </w:p>
    <w:p>
      <w:pPr>
        <w:pStyle w:val="Style3"/>
        <w:widowControl w:val="0"/>
        <w:keepNext w:val="0"/>
        <w:keepLines w:val="0"/>
        <w:shd w:val="clear" w:color="auto" w:fill="auto"/>
        <w:bidi w:val="0"/>
        <w:jc w:val="left"/>
        <w:spacing w:before="0" w:after="840"/>
        <w:ind w:left="5320" w:right="220" w:firstLine="0"/>
      </w:pPr>
      <w:r>
        <w:rPr>
          <w:lang w:val="ru-RU" w:eastAsia="ru-RU" w:bidi="ru-RU"/>
          <w:w w:val="100"/>
          <w:spacing w:val="0"/>
          <w:color w:val="000000"/>
          <w:position w:val="0"/>
        </w:rPr>
        <w:t>Большой Саввинский переулок, д. 12, стр. 9, эт.1, пом. I, комн. 2, Москва, 119435</w:t>
      </w:r>
    </w:p>
    <w:p>
      <w:pPr>
        <w:pStyle w:val="Style6"/>
        <w:widowControl w:val="0"/>
        <w:keepNext w:val="0"/>
        <w:keepLines w:val="0"/>
        <w:shd w:val="clear" w:color="auto" w:fill="auto"/>
        <w:bidi w:val="0"/>
        <w:jc w:val="left"/>
        <w:spacing w:before="0" w:after="0"/>
        <w:ind w:left="4060" w:right="0" w:firstLine="0"/>
      </w:pPr>
      <w:r>
        <w:rPr>
          <w:lang w:val="ru-RU" w:eastAsia="ru-RU" w:bidi="ru-RU"/>
          <w:w w:val="100"/>
          <w:spacing w:val="0"/>
          <w:color w:val="000000"/>
          <w:position w:val="0"/>
        </w:rPr>
        <w:t>РЕШЕНИЕ</w:t>
      </w:r>
    </w:p>
    <w:p>
      <w:pPr>
        <w:pStyle w:val="Style6"/>
        <w:tabs>
          <w:tab w:leader="none" w:pos="9150" w:val="center"/>
        </w:tabs>
        <w:widowControl w:val="0"/>
        <w:keepNext w:val="0"/>
        <w:keepLines w:val="0"/>
        <w:shd w:val="clear" w:color="auto" w:fill="auto"/>
        <w:bidi w:val="0"/>
        <w:jc w:val="left"/>
        <w:spacing w:before="0" w:after="0"/>
        <w:ind w:left="20" w:right="600" w:firstLine="1480"/>
      </w:pPr>
      <w:r>
        <w:rPr>
          <w:lang w:val="ru-RU" w:eastAsia="ru-RU" w:bidi="ru-RU"/>
          <w:w w:val="100"/>
          <w:spacing w:val="0"/>
          <w:color w:val="000000"/>
          <w:position w:val="0"/>
        </w:rPr>
        <w:t>по результатам проведенной внеплановой проверки по делу № 077/06/106-18739/2021 о нарушении законодательства о контрактной системе 21.10.2021</w:t>
        <w:tab/>
        <w:t>Москва</w:t>
      </w:r>
    </w:p>
    <w:p>
      <w:pPr>
        <w:pStyle w:val="Style3"/>
        <w:tabs>
          <w:tab w:leader="none" w:pos="2914" w:val="left"/>
          <w:tab w:leader="none" w:pos="7258" w:val="left"/>
          <w:tab w:leader="none" w:pos="10206" w:val="right"/>
        </w:tabs>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На основании требований пп. «б» п. 2 ч. 3 ст.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п. 2 письма ФАС России от 19.10.2018 № ИА/84476/18 проведена внеплановая проверка действий ФКУ «Налог-Сервис» ФНС России (далее — Заказчик) при проведении электронного аукциона на право заключения государственного контракта на поставку средств электронно</w:t>
        <w:softHyphen/>
        <w:t>вычислительной,</w:t>
        <w:tab/>
        <w:t>копировально-множительной</w:t>
        <w:tab/>
        <w:t>техники,</w:t>
        <w:tab/>
        <w:t>передача</w:t>
      </w:r>
    </w:p>
    <w:p>
      <w:pPr>
        <w:pStyle w:val="Style3"/>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неисключительных прав на использование программного обеспечения для нужд Федерального казенного учреждения «Налог-Сервис» Федеральной налоговой службы (Закупка № 0337100017721000122) (далее — электронный аукцион, аукцион) по доводам, изложенным в жалобе ООО «Грос Комп».</w:t>
      </w:r>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Комиссией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3"/>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176"/>
        <w:ind w:left="20" w:right="20" w:firstLine="72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8"/>
        <w:widowControl w:val="0"/>
        <w:keepNext w:val="0"/>
        <w:keepLines w:val="0"/>
        <w:shd w:val="clear" w:color="auto" w:fill="auto"/>
        <w:bidi w:val="0"/>
        <w:jc w:val="left"/>
        <w:spacing w:before="0" w:after="0" w:line="240" w:lineRule="auto"/>
        <w:ind w:left="0" w:right="0" w:firstLine="0"/>
      </w:pPr>
      <w:r>
        <w:rPr>
          <w:w w:val="100"/>
          <w:spacing w:val="0"/>
          <w:color w:val="000000"/>
          <w:position w:val="0"/>
        </w:rPr>
        <w:t>000134779995</w:t>
      </w:r>
    </w:p>
    <w:p>
      <w:pPr>
        <w:pStyle w:val="Style3"/>
        <w:widowControl w:val="0"/>
        <w:keepNext w:val="0"/>
        <w:keepLines w:val="0"/>
        <w:shd w:val="clear" w:color="auto" w:fill="auto"/>
        <w:bidi w:val="0"/>
        <w:jc w:val="left"/>
        <w:spacing w:before="0" w:after="0" w:line="317" w:lineRule="exact"/>
        <w:ind w:left="0" w:right="20" w:firstLine="80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3"/>
        <w:widowControl w:val="0"/>
        <w:keepNext w:val="0"/>
        <w:keepLines w:val="0"/>
        <w:shd w:val="clear" w:color="auto" w:fill="auto"/>
        <w:bidi w:val="0"/>
        <w:jc w:val="left"/>
        <w:spacing w:before="0" w:after="0" w:line="317" w:lineRule="exact"/>
        <w:ind w:left="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представителя ФКУ «Налог-Сервис» ФНС России: А.Ю. Висящева (по доверенности от 16.09.2021 №,03-01/21/240,</w:t>
      </w:r>
    </w:p>
    <w:p>
      <w:pPr>
        <w:pStyle w:val="Style3"/>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в отсутствие представителя ООО «Грос Комп» о времени и порядке заседания Комиссии Управления уведомлены надлежащим образом письмом Московского УФАС России от 18.10.2021 № ЕИ/63663/21,</w:t>
      </w:r>
    </w:p>
    <w:p>
      <w:pPr>
        <w:pStyle w:val="Style3"/>
        <w:widowControl w:val="0"/>
        <w:keepNext w:val="0"/>
        <w:keepLines w:val="0"/>
        <w:shd w:val="clear" w:color="auto" w:fill="auto"/>
        <w:bidi w:val="0"/>
        <w:jc w:val="left"/>
        <w:spacing w:before="0" w:after="346" w:line="317" w:lineRule="exact"/>
        <w:ind w:left="0" w:right="0" w:firstLine="700"/>
      </w:pPr>
      <w:r>
        <w:rPr>
          <w:lang w:val="ru-RU" w:eastAsia="ru-RU" w:bidi="ru-RU"/>
          <w:w w:val="100"/>
          <w:spacing w:val="0"/>
          <w:color w:val="000000"/>
          <w:position w:val="0"/>
        </w:rPr>
        <w:t>По результатам проведенной внеплановой проверки Комиссия Управления</w:t>
      </w:r>
    </w:p>
    <w:p>
      <w:pPr>
        <w:pStyle w:val="Style10"/>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В Московское УФАС России поступила жалоба ООО «Грос Комп» (вх. № 90057-ЭП/21 от 15.10.2021) на действия ФКУ «Налог-Сервис» ФНС России при проведении вышеуказанного электронного аукциона.</w:t>
      </w:r>
    </w:p>
    <w:p>
      <w:pPr>
        <w:pStyle w:val="Style3"/>
        <w:widowControl w:val="0"/>
        <w:keepNext w:val="0"/>
        <w:keepLines w:val="0"/>
        <w:shd w:val="clear" w:color="auto" w:fill="auto"/>
        <w:bidi w:val="0"/>
        <w:jc w:val="left"/>
        <w:spacing w:before="0" w:after="0"/>
        <w:ind w:left="0" w:right="20" w:firstLine="700"/>
      </w:pPr>
      <w:r>
        <w:rPr>
          <w:lang w:val="ru-RU" w:eastAsia="ru-RU" w:bidi="ru-RU"/>
          <w:w w:val="100"/>
          <w:spacing w:val="0"/>
          <w:color w:val="000000"/>
          <w:position w:val="0"/>
        </w:rPr>
        <w:t>Вместе с тем указанная жалоба (вх. № 88493-ЭП/21 от 11.10.2021) отозвана Заявителем в соответствии с ч.15 ст.105 Закона о контрактной системе.</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П.2 письма ФАС России от 19.10.2018 № ИА/84476/18 установлено, что в случае если в жалобе содержатся указания на действия (бездействия) Заказчика, содержащие признаки нарушения законодательства об осуществлении закупок ФАС России (территориальный орган) обязан провести внеплановую проверку.</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Заявитель обжалует действия Заказчика, выразившиеся в неустановлении в аукционной документации запрета на допуск промышленных товаров, происходящих из иностранных государств в соответствии с требованиями постановления 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 в нарушение законодательства о контрактной системе, поскольку часть закупаемой Заказчиком продукции включена в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w:t>
      </w:r>
      <w:r>
        <w:rPr>
          <w:rStyle w:val="CharStyle12"/>
        </w:rPr>
        <w:t>ици</w:t>
      </w:r>
      <w:r>
        <w:rPr>
          <w:lang w:val="ru-RU" w:eastAsia="ru-RU" w:bidi="ru-RU"/>
          <w:w w:val="100"/>
          <w:spacing w:val="0"/>
          <w:color w:val="000000"/>
          <w:position w:val="0"/>
        </w:rPr>
        <w:t>пальных нужд (далее - перечень Постановления №616).</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Частью 1 статьи 64 Закона о контрактной системе установлено, что документация об электронном аукционе должна содержать информацию, указанную в извещении о проведении такого аукциона.</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На основании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п.10 ст.42 Закона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ст.14 Закона о контрактной системе.</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 в составе своей жалобы Заявитель указывает, что аукционная документация содержит продукцию со следующим кодом по ОКПД2: 26.20.14.000 «Машины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 который, в свою очередь, включен в перечень постановления №616.</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Согласно п.1 Постановления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силу п.10 Постановления №616 установлено, что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включается в контракт.</w:t>
      </w:r>
    </w:p>
    <w:p>
      <w:pPr>
        <w:pStyle w:val="Style3"/>
        <w:widowControl w:val="0"/>
        <w:keepNext w:val="0"/>
        <w:keepLines w:val="0"/>
        <w:shd w:val="clear" w:color="auto" w:fill="auto"/>
        <w:bidi w:val="0"/>
        <w:jc w:val="both"/>
        <w:spacing w:before="0" w:after="0" w:line="317" w:lineRule="exact"/>
        <w:ind w:left="20" w:right="40" w:firstLine="560"/>
      </w:pPr>
      <w:r>
        <w:rPr>
          <w:lang w:val="ru-RU" w:eastAsia="ru-RU" w:bidi="ru-RU"/>
          <w:w w:val="100"/>
          <w:spacing w:val="0"/>
          <w:color w:val="000000"/>
          <w:position w:val="0"/>
        </w:rPr>
        <w:t>Комиссией Управления установлено, что в аукционной документации не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в соответствии с Постановлением №616.</w:t>
      </w:r>
    </w:p>
    <w:p>
      <w:pPr>
        <w:pStyle w:val="Style3"/>
        <w:widowControl w:val="0"/>
        <w:keepNext w:val="0"/>
        <w:keepLines w:val="0"/>
        <w:shd w:val="clear" w:color="auto" w:fill="auto"/>
        <w:bidi w:val="0"/>
        <w:jc w:val="both"/>
        <w:spacing w:before="0" w:after="0" w:line="317" w:lineRule="exact"/>
        <w:ind w:left="20" w:right="40" w:firstLine="560"/>
      </w:pPr>
      <w:r>
        <w:rPr>
          <w:lang w:val="ru-RU" w:eastAsia="ru-RU" w:bidi="ru-RU"/>
          <w:w w:val="100"/>
          <w:spacing w:val="0"/>
          <w:color w:val="000000"/>
          <w:position w:val="0"/>
        </w:rPr>
        <w:t>При этом Комиссией Управления установлено, что Заказчиком при описании объекта закупки выбраны, например, позиция каталога товаров, работ, услуг 26.20.14.000-00000190 «Сервер», которая, в свою очередь соответствует коду ОКПД2 26.20.14 «Машины вычислительные электронные цифровые, поставляемые в виде систем для автоматической обработки данных» и позиция 26.20.11.110-00000165 «Ноутбук», которая, согласно общей информации содержащейся в ней, в свою очередь соответствует коду ОКПД2 26.20.11 «Компьютеры портативные массой не более 10 кг, такие, как ноутбуки, планшетные компьютеры, карманные компьютеры, в том числе совмещающие функции мобильного телефонного аппарата, электронные записные книжки и аналогичная компьютерная техника» которые входят в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в соответствии с постановлением №616.</w:t>
      </w:r>
    </w:p>
    <w:p>
      <w:pPr>
        <w:pStyle w:val="Style3"/>
        <w:widowControl w:val="0"/>
        <w:keepNext w:val="0"/>
        <w:keepLines w:val="0"/>
        <w:shd w:val="clear" w:color="auto" w:fill="auto"/>
        <w:bidi w:val="0"/>
        <w:jc w:val="both"/>
        <w:spacing w:before="0" w:after="0" w:line="317" w:lineRule="exact"/>
        <w:ind w:left="20" w:right="40" w:firstLine="56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17" w:lineRule="exact"/>
        <w:ind w:left="20" w:right="40" w:firstLine="560"/>
      </w:pPr>
      <w:r>
        <w:rPr>
          <w:lang w:val="ru-RU" w:eastAsia="ru-RU" w:bidi="ru-RU"/>
          <w:w w:val="100"/>
          <w:spacing w:val="0"/>
          <w:color w:val="000000"/>
          <w:position w:val="0"/>
        </w:rPr>
        <w:t>На заседании Комиссии Управления представитель Заказчика не отрицал включения вышеуказанных кодов ОКПД2 в перечень установленный Постановлением №616, вместе с тем пояснил, что не установление запрета произошло в связи с длительным согласованием закупки.</w:t>
      </w:r>
    </w:p>
    <w:p>
      <w:pPr>
        <w:pStyle w:val="Style3"/>
        <w:widowControl w:val="0"/>
        <w:keepNext w:val="0"/>
        <w:keepLines w:val="0"/>
        <w:shd w:val="clear" w:color="auto" w:fill="auto"/>
        <w:bidi w:val="0"/>
        <w:jc w:val="both"/>
        <w:spacing w:before="0" w:after="0" w:line="317" w:lineRule="exact"/>
        <w:ind w:left="20" w:right="40" w:firstLine="560"/>
      </w:pPr>
      <w:r>
        <w:rPr>
          <w:lang w:val="ru-RU" w:eastAsia="ru-RU" w:bidi="ru-RU"/>
          <w:w w:val="100"/>
          <w:spacing w:val="0"/>
          <w:color w:val="000000"/>
          <w:position w:val="0"/>
        </w:rPr>
        <w:t>Таким образом Комиссия Управления приходит к выводу, что Заказчиком в нарушение ч.3 ст.14, п.10 ст.42, ч.1 ст.64 Закона о контрактной системе не установлен запрет на допуск промышленных товаров, в соответствии с постановлением № 616, что также содержит признаки состава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0" w:line="317" w:lineRule="exact"/>
        <w:ind w:left="20" w:right="40" w:firstLine="560"/>
      </w:pPr>
      <w:r>
        <w:rPr>
          <w:lang w:val="ru-RU" w:eastAsia="ru-RU" w:bidi="ru-RU"/>
          <w:w w:val="100"/>
          <w:spacing w:val="0"/>
          <w:color w:val="000000"/>
          <w:position w:val="0"/>
        </w:rPr>
        <w:t>Вместе с тем, в составе жалобы Заявителем также указано на то, что Заказчиком неправомерно объединены в один лот товары включенные в перечень, утвержденный постановлением Правительства Российской Федерации от 10.07.2020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w:t>
      </w:r>
      <w:r>
        <w:rPr>
          <w:rStyle w:val="CharStyle12"/>
        </w:rPr>
        <w:t>ши</w:t>
      </w:r>
      <w:r>
        <w:rPr>
          <w:lang w:val="ru-RU" w:eastAsia="ru-RU" w:bidi="ru-RU"/>
          <w:w w:val="100"/>
          <w:spacing w:val="0"/>
          <w:color w:val="000000"/>
          <w:position w:val="0"/>
        </w:rPr>
        <w:t>ми силу некоторых актов Правительства Российской Федерации» (далее — постановление №878) и не включенные в него.</w:t>
      </w:r>
    </w:p>
    <w:p>
      <w:pPr>
        <w:pStyle w:val="Style3"/>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Пунктом 7 Постановления 878 установлено, что 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w:t>
      </w:r>
    </w:p>
    <w:p>
      <w:pPr>
        <w:pStyle w:val="Style3"/>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Комиссией Управления установлено, что согласно действующей редакции постановления №878 от 28.09.2021, из Перечня исключена продукция со следующими кодами по ОКПД2: 26.20.11 (компьютеры портативные (ноутбуки, планшеты)), 26.20.14 (сервер).</w:t>
      </w:r>
    </w:p>
    <w:p>
      <w:pPr>
        <w:pStyle w:val="Style3"/>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При этом согласно положениям действующей редакции постановления №878 по общему коду ОКПД2: 26.20 в Перечень включена следующая продукция:</w:t>
      </w:r>
    </w:p>
    <w:p>
      <w:pPr>
        <w:pStyle w:val="Style3"/>
        <w:numPr>
          <w:ilvl w:val="0"/>
          <w:numId w:val="1"/>
        </w:numPr>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 xml:space="preserve"> 26.20.4 «Блоки, части и принадлежности вычислительных машин», в который входит код 26.20.40.110 «Устройства и блоки питания вычислительных машин», установленный Заказчиком;</w:t>
      </w:r>
    </w:p>
    <w:p>
      <w:pPr>
        <w:pStyle w:val="Style3"/>
        <w:numPr>
          <w:ilvl w:val="0"/>
          <w:numId w:val="1"/>
        </w:numPr>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 xml:space="preserve"> 26.20.18.000 «Устройства периферийные с двумя или более функциями: печать данных, копирование, сканирование, прием и передача факсимильных сообщений», установленный Заказчиком.</w:t>
      </w:r>
    </w:p>
    <w:p>
      <w:pPr>
        <w:pStyle w:val="Style3"/>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Вместе с тем в нарушение п.7 Постановления №878 Заказчик включил в один лот продукцию по кодам ОКПД2, которая включена в Перечень, а также продукцию, которая исключена из Перечня Постановления №878 28.09.2021, в том числе: ноутбуки, серверы.</w:t>
      </w:r>
    </w:p>
    <w:p>
      <w:pPr>
        <w:pStyle w:val="Style3"/>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Кроме того, Комиссия Управления также отмечает, что аналогичный запрет на объединение товаров включенных в перечень и не включенных него также установлен и Постановлением №616 (п.12: не могут быть предметом одного контракта (одного лота) промышленные товары, включенные в перечень и не включенные в него (за исключением закупок промышленных товаров по государственному оборонному заказу).</w:t>
      </w:r>
    </w:p>
    <w:p>
      <w:pPr>
        <w:pStyle w:val="Style3"/>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При этом коды ОКПД2 26.20.40.110 и 26.20.18.000 отсутствуют в перечне установленном Постановлением №616.</w:t>
      </w:r>
    </w:p>
    <w:p>
      <w:pPr>
        <w:pStyle w:val="Style3"/>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Таким образом, Комиссия Управления приходит к выводу, что аукционная документация сформирована Заказчиком в нарушение п.10 ст.42, ч.1 ст.64, ч.3 ст.14 Закона о контрактной системе, а также о наличии в действиях Заказчика признаков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Также в ходе проведения внеплановой проверки Комиссией Управления установлено, Заказчиком неправомерно не установлены ограничения, предусмотренные Постановлением №878.</w:t>
      </w:r>
    </w:p>
    <w:p>
      <w:pPr>
        <w:pStyle w:val="Style3"/>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Пунктом 4 постановления №878 установлено, что ограничение на допуск радиоэлектронной продукции, происходящей из иностранных государств, не устанавливается, если в реестре и реестре евразийских промышленных товаров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или реестр евразийских промышленных товаров,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Согласно п.5 постановления №878 в редакции, действующей с 31.08.2021, подтверждением случая, установленного пунктом 4 постановления №878, является разрешение на закупку происходящего из иностранного государства промышленного товара, выданное в порядке, установленном Министерством промышленности и торговли Российской Федерации.</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Таким образом, из вышеуказанного следует, что с учетом внесенных изменений на основании постановления Правительства Российской Федерации от 28 августа 2021 г. № 1432 «О внесении изменений в некоторые акты Правительства Российской Федерации», вступивших в силу 31.08.2021, в случае невозможности соблюдения ограничений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утвержденных п.4 постановления №878, Заказчику необходимо получить разрешение на закупку происходящего из иностранного государства промышленного товара, выданное в порядке, установленном Министерством промышленности и торговли Российской Федерации.</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При этом Извещение о проведении рассматриваемого электронного аукциона размещено Заказчиком в Единой информационной системе в сфере закупок 07.09.2021, что свидетельствует о том, что Заказчик обязан руководствоваться действующей редакцией постановления №878 с учетом внесенных в него изменений, вступивших в силу 31.08.2021.</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Вместе с тем в составе аукционной документации отсутствует разрешение на закупку происходящего из иностранного государства промышленного товара, выданное в порядке, установленном Министерством промышленности и торговли Российской Федерации.</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Заказчиком положений п.10 ст.42, ч.1 ст.64, ч.3 ст.14 Закона о контрактной системе при формировании аукционной документации, что также содержит признаки состава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r>
        <w:br w:type="page"/>
      </w:r>
    </w:p>
    <w:p>
      <w:pPr>
        <w:pStyle w:val="Style6"/>
        <w:widowControl w:val="0"/>
        <w:keepNext w:val="0"/>
        <w:keepLines w:val="0"/>
        <w:shd w:val="clear" w:color="auto" w:fill="auto"/>
        <w:bidi w:val="0"/>
        <w:jc w:val="center"/>
        <w:spacing w:before="0" w:after="303" w:line="260" w:lineRule="exact"/>
        <w:ind w:left="0" w:right="0" w:firstLine="0"/>
      </w:pPr>
      <w:r>
        <w:rPr>
          <w:lang w:val="ru-RU" w:eastAsia="ru-RU" w:bidi="ru-RU"/>
          <w:w w:val="100"/>
          <w:spacing w:val="0"/>
          <w:color w:val="000000"/>
          <w:position w:val="0"/>
        </w:rPr>
        <w:t>Р Е Ш И Л А:</w:t>
      </w:r>
    </w:p>
    <w:p>
      <w:pPr>
        <w:pStyle w:val="Style3"/>
        <w:numPr>
          <w:ilvl w:val="0"/>
          <w:numId w:val="3"/>
        </w:numPr>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 xml:space="preserve"> Признать в действиях ФКУ «Налог-Сервис» ФНС России нарушение п.10 ст.42, ч.1 ст.64, ч.3 ст.14 Закона о контрактной системе.</w:t>
      </w:r>
    </w:p>
    <w:p>
      <w:pPr>
        <w:pStyle w:val="Style3"/>
        <w:numPr>
          <w:ilvl w:val="0"/>
          <w:numId w:val="3"/>
        </w:numPr>
        <w:widowControl w:val="0"/>
        <w:keepNext w:val="0"/>
        <w:keepLines w:val="0"/>
        <w:shd w:val="clear" w:color="auto" w:fill="auto"/>
        <w:bidi w:val="0"/>
        <w:jc w:val="both"/>
        <w:spacing w:before="0" w:after="0" w:line="317" w:lineRule="exact"/>
        <w:ind w:left="0" w:right="0" w:firstLine="72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3"/>
        <w:numPr>
          <w:ilvl w:val="0"/>
          <w:numId w:val="3"/>
        </w:numPr>
        <w:widowControl w:val="0"/>
        <w:keepNext w:val="0"/>
        <w:keepLines w:val="0"/>
        <w:shd w:val="clear" w:color="auto" w:fill="auto"/>
        <w:bidi w:val="0"/>
        <w:jc w:val="both"/>
        <w:spacing w:before="0" w:after="296" w:line="317" w:lineRule="exact"/>
        <w:ind w:left="0" w:right="0" w:firstLine="72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3"/>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3"/>
        <w:widowControl w:val="0"/>
        <w:keepNext w:val="0"/>
        <w:keepLines w:val="0"/>
        <w:shd w:val="clear" w:color="auto" w:fill="auto"/>
        <w:bidi w:val="0"/>
        <w:jc w:val="left"/>
        <w:spacing w:before="0" w:after="352" w:line="260" w:lineRule="exact"/>
        <w:ind w:left="0" w:right="0" w:firstLine="0"/>
      </w:pPr>
      <w:r>
        <w:rPr>
          <w:lang w:val="ru-RU" w:eastAsia="ru-RU" w:bidi="ru-RU"/>
          <w:w w:val="100"/>
          <w:spacing w:val="0"/>
          <w:color w:val="000000"/>
          <w:position w:val="0"/>
        </w:rPr>
        <w:t>гл. 24 АПК РФ.</w:t>
      </w:r>
    </w:p>
    <w:p>
      <w:pPr>
        <w:pStyle w:val="Style3"/>
        <w:framePr w:h="250" w:vSpace="394" w:wrap="around" w:vAnchor="text" w:hAnchor="margin" w:x="8344" w:y="1"/>
        <w:widowControl w:val="0"/>
        <w:keepNext w:val="0"/>
        <w:keepLines w:val="0"/>
        <w:shd w:val="clear" w:color="auto" w:fill="auto"/>
        <w:bidi w:val="0"/>
        <w:jc w:val="left"/>
        <w:spacing w:before="0" w:after="0" w:line="240" w:lineRule="exact"/>
        <w:ind w:left="100" w:right="0" w:firstLine="0"/>
      </w:pPr>
      <w:r>
        <w:rPr>
          <w:rStyle w:val="CharStyle4"/>
          <w:spacing w:val="0"/>
        </w:rPr>
        <w:t>Д.С. Грешнева</w:t>
      </w:r>
    </w:p>
    <w:p>
      <w:pPr>
        <w:pStyle w:val="Style3"/>
        <w:widowControl w:val="0"/>
        <w:keepNext w:val="0"/>
        <w:keepLines w:val="0"/>
        <w:shd w:val="clear" w:color="auto" w:fill="auto"/>
        <w:bidi w:val="0"/>
        <w:jc w:val="left"/>
        <w:spacing w:before="0" w:after="352" w:line="260" w:lineRule="exact"/>
        <w:ind w:left="0" w:right="0" w:firstLine="0"/>
      </w:pPr>
      <w:r>
        <w:rPr>
          <w:lang w:val="ru-RU" w:eastAsia="ru-RU" w:bidi="ru-RU"/>
          <w:w w:val="100"/>
          <w:spacing w:val="0"/>
          <w:color w:val="000000"/>
          <w:position w:val="0"/>
        </w:rPr>
        <w:t>Заместитель председателя Комиссии</w:t>
      </w:r>
    </w:p>
    <w:p>
      <w:pPr>
        <w:pStyle w:val="Style3"/>
        <w:framePr w:h="240" w:wrap="around" w:vAnchor="text" w:hAnchor="margin" w:x="18" w:y="1"/>
        <w:widowControl w:val="0"/>
        <w:keepNext w:val="0"/>
        <w:keepLines w:val="0"/>
        <w:shd w:val="clear" w:color="auto" w:fill="auto"/>
        <w:bidi w:val="0"/>
        <w:jc w:val="left"/>
        <w:spacing w:before="0" w:after="0" w:line="240" w:lineRule="exact"/>
        <w:ind w:left="0" w:right="0" w:firstLine="0"/>
      </w:pPr>
      <w:r>
        <w:rPr>
          <w:rStyle w:val="CharStyle4"/>
          <w:spacing w:val="0"/>
        </w:rPr>
        <w:t>Члены Комиссии</w:t>
      </w:r>
    </w:p>
    <w:p>
      <w:pPr>
        <w:pStyle w:val="Style3"/>
        <w:framePr w:h="240" w:wrap="notBeside" w:vAnchor="text" w:hAnchor="margin" w:x="8555" w:y="644"/>
        <w:widowControl w:val="0"/>
        <w:keepNext w:val="0"/>
        <w:keepLines w:val="0"/>
        <w:shd w:val="clear" w:color="auto" w:fill="auto"/>
        <w:bidi w:val="0"/>
        <w:jc w:val="left"/>
        <w:spacing w:before="0" w:after="0" w:line="240" w:lineRule="exact"/>
        <w:ind w:left="100" w:right="0" w:firstLine="0"/>
      </w:pPr>
      <w:r>
        <w:rPr>
          <w:rStyle w:val="CharStyle4"/>
          <w:spacing w:val="0"/>
        </w:rPr>
        <w:t>Е.О. Сгибнев</w:t>
      </w:r>
    </w:p>
    <w:p>
      <w:pPr>
        <w:pStyle w:val="Style3"/>
        <w:widowControl w:val="0"/>
        <w:keepNext w:val="0"/>
        <w:keepLines w:val="0"/>
        <w:shd w:val="clear" w:color="auto" w:fill="auto"/>
        <w:bidi w:val="0"/>
        <w:jc w:val="right"/>
        <w:spacing w:before="0" w:after="7399" w:line="260" w:lineRule="exact"/>
        <w:ind w:left="0" w:right="0" w:firstLine="0"/>
      </w:pPr>
      <w:r>
        <w:rPr>
          <w:lang w:val="ru-RU" w:eastAsia="ru-RU" w:bidi="ru-RU"/>
          <w:w w:val="100"/>
          <w:spacing w:val="0"/>
          <w:color w:val="000000"/>
          <w:position w:val="0"/>
        </w:rPr>
        <w:t>А.А. Кутейников</w:t>
      </w:r>
    </w:p>
    <w:p>
      <w:pPr>
        <w:pStyle w:val="Style13"/>
        <w:widowControl w:val="0"/>
        <w:keepNext w:val="0"/>
        <w:keepLines w:val="0"/>
        <w:shd w:val="clear" w:color="auto" w:fill="auto"/>
        <w:bidi w:val="0"/>
        <w:jc w:val="left"/>
        <w:spacing w:before="0" w:after="0"/>
        <w:ind w:left="0" w:right="3980" w:firstLine="0"/>
      </w:pPr>
      <w:r>
        <w:rPr>
          <w:lang w:val="ru-RU" w:eastAsia="ru-RU" w:bidi="ru-RU"/>
          <w:w w:val="100"/>
          <w:spacing w:val="0"/>
          <w:color w:val="000000"/>
          <w:position w:val="0"/>
        </w:rPr>
        <w:t>Исп.Кутейников А.А. тел.8(495)784-75-05</w:t>
      </w:r>
    </w:p>
    <w:sectPr>
      <w:footnotePr>
        <w:pos w:val="pageBottom"/>
        <w:numFmt w:val="decimal"/>
        <w:numRestart w:val="continuous"/>
      </w:footnotePr>
      <w:type w:val="continuous"/>
      <w:pgSz w:w="11906" w:h="16838"/>
      <w:pgMar w:top="1118" w:left="854" w:right="832" w:bottom="103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5">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2)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9">
    <w:name w:val="Штрих-код (2)_"/>
    <w:basedOn w:val="DefaultParagraphFont"/>
    <w:link w:val="Style8"/>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5"/>
    <w:rPr>
      <w:lang w:val="ru-RU" w:eastAsia="ru-RU" w:bidi="ru-RU"/>
      <w:u w:val="single"/>
      <w:w w:val="100"/>
      <w:spacing w:val="0"/>
      <w:color w:val="000000"/>
      <w:position w:val="0"/>
    </w:rPr>
  </w:style>
  <w:style w:type="character" w:customStyle="1" w:styleId="CharStyle14">
    <w:name w:val="Основной текст (3)_"/>
    <w:basedOn w:val="DefaultParagraphFont"/>
    <w:link w:val="Style13"/>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5"/>
    <w:pPr>
      <w:widowControl w:val="0"/>
      <w:shd w:val="clear" w:color="auto" w:fill="FFFFFF"/>
      <w:spacing w:after="2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before="8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8">
    <w:name w:val="Штрих-код (2)"/>
    <w:basedOn w:val="Normal"/>
    <w:link w:val="CharStyle9"/>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spacing w:before="7500" w:line="254"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