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294"/>
        <w:ind w:left="0" w:right="0" w:firstLine="0"/>
      </w:pPr>
      <w:r>
        <w:rPr>
          <w:rStyle w:val="CharStyle5"/>
          <w:b/>
          <w:bCs/>
        </w:rPr>
        <w:t>ФЕДЕРАЛЬНАЯ АНТИМОНОПОЛЬНАЯ СЛУЖБА</w:t>
      </w:r>
    </w:p>
    <w:p>
      <w:pPr>
        <w:pStyle w:val="Style3"/>
        <w:widowControl w:val="0"/>
        <w:keepNext w:val="0"/>
        <w:keepLines w:val="0"/>
        <w:shd w:val="clear" w:color="auto" w:fill="auto"/>
        <w:bidi w:val="0"/>
        <w:spacing w:before="0" w:after="181" w:line="281" w:lineRule="exact"/>
        <w:ind w:left="0" w:right="0" w:firstLine="0"/>
      </w:pPr>
      <w:r>
        <w:rPr>
          <w:rStyle w:val="CharStyle5"/>
          <w:b/>
          <w:bCs/>
        </w:rPr>
        <w:t>УПРАВЛЕНИЕ Федеральной антимонопольной службы по Республике Татарстан</w:t>
      </w:r>
    </w:p>
    <w:p>
      <w:pPr>
        <w:pStyle w:val="Style6"/>
        <w:widowControl w:val="0"/>
        <w:keepNext w:val="0"/>
        <w:keepLines w:val="0"/>
        <w:shd w:val="clear" w:color="auto" w:fill="auto"/>
        <w:bidi w:val="0"/>
        <w:spacing w:before="0" w:after="0"/>
        <w:ind w:left="0" w:right="0" w:firstLine="0"/>
      </w:pPr>
      <w:r>
        <w:rPr>
          <w:rStyle w:val="CharStyle8"/>
        </w:rPr>
        <w:t xml:space="preserve">ул. Московская, д. 55. г. Казань. 420021 тел.: (843) 236-89-22. факс (843) 238-19-46 </w:t>
      </w:r>
      <w:r>
        <w:rPr>
          <w:rStyle w:val="CharStyle8"/>
          <w:lang w:val="en-US" w:eastAsia="en-US" w:bidi="en-US"/>
        </w:rPr>
        <w:t>e-mail</w:t>
      </w:r>
      <w:r>
        <w:rPr>
          <w:rStyle w:val="CharStyle8"/>
        </w:rPr>
        <w:t xml:space="preserve">: </w:t>
      </w:r>
      <w:r>
        <w:rPr>
          <w:rStyle w:val="CharStyle8"/>
          <w:lang w:val="en-US" w:eastAsia="en-US" w:bidi="en-US"/>
        </w:rPr>
        <w:t xml:space="preserve">to </w:t>
      </w:r>
      <w:r>
        <w:fldChar w:fldCharType="begin"/>
      </w:r>
      <w:r>
        <w:rPr>
          <w:rStyle w:val="CharStyle8"/>
        </w:rPr>
        <w:instrText> HYPERLINK "mailto:16@fas.gov.ru" </w:instrText>
      </w:r>
      <w:r>
        <w:fldChar w:fldCharType="separate"/>
      </w:r>
      <w:r>
        <w:rPr>
          <w:rStyle w:val="Hyperlink"/>
        </w:rPr>
        <w:t>16@</w:t>
      </w:r>
      <w:r>
        <w:rPr>
          <w:rStyle w:val="Hyperlink"/>
          <w:lang w:val="en-US" w:eastAsia="en-US" w:bidi="en-US"/>
        </w:rPr>
        <w:t>fas.gov.ru</w:t>
      </w:r>
      <w:r>
        <w:fldChar w:fldCharType="end"/>
      </w:r>
    </w:p>
    <w:p>
      <w:pPr>
        <w:pStyle w:val="Style9"/>
        <w:widowControl w:val="0"/>
        <w:keepNext/>
        <w:keepLines/>
        <w:shd w:val="clear" w:color="auto" w:fill="auto"/>
        <w:bidi w:val="0"/>
        <w:jc w:val="left"/>
        <w:spacing w:before="0" w:after="134" w:line="740" w:lineRule="exact"/>
        <w:ind w:left="960" w:right="0" w:firstLine="0"/>
      </w:pPr>
      <w:bookmarkStart w:id="0" w:name="bookmark0"/>
      <w:r>
        <w:rPr>
          <w:rStyle w:val="CharStyle11"/>
          <w:i/>
          <w:iCs/>
        </w:rPr>
        <w:t>т</w:t>
      </w:r>
      <w:r>
        <w:rPr>
          <w:rStyle w:val="CharStyle12"/>
          <w:i w:val="0"/>
          <w:iCs w:val="0"/>
        </w:rPr>
        <w:t xml:space="preserve"> </w:t>
      </w:r>
      <w:r>
        <w:rPr>
          <w:rStyle w:val="CharStyle13"/>
          <w:i w:val="0"/>
          <w:iCs w:val="0"/>
        </w:rPr>
        <w:t>_</w:t>
      </w:r>
      <w:r>
        <w:rPr>
          <w:rStyle w:val="CharStyle13"/>
          <w:vertAlign w:val="subscript"/>
          <w:i w:val="0"/>
          <w:iCs w:val="0"/>
        </w:rPr>
        <w:t>№</w:t>
      </w:r>
      <w:r>
        <w:rPr>
          <w:rStyle w:val="CharStyle13"/>
          <w:i w:val="0"/>
          <w:iCs w:val="0"/>
        </w:rPr>
        <w:t xml:space="preserve">_ </w:t>
      </w:r>
      <w:r>
        <w:rPr>
          <w:rStyle w:val="CharStyle14"/>
          <w:i/>
          <w:iCs/>
        </w:rPr>
        <w:t>АЫкш.</w:t>
      </w:r>
      <w:bookmarkEnd w:id="0"/>
    </w:p>
    <w:p>
      <w:pPr>
        <w:pStyle w:val="Style15"/>
        <w:tabs>
          <w:tab w:leader="none" w:pos="2124" w:val="right"/>
        </w:tabs>
        <w:widowControl w:val="0"/>
        <w:keepNext w:val="0"/>
        <w:keepLines w:val="0"/>
        <w:shd w:val="clear" w:color="auto" w:fill="auto"/>
        <w:bidi w:val="0"/>
        <w:spacing w:before="0" w:after="0" w:line="220" w:lineRule="exact"/>
        <w:ind w:left="40" w:right="0" w:firstLine="0"/>
      </w:pPr>
      <w:r>
        <w:rPr>
          <w:rStyle w:val="CharStyle17"/>
        </w:rPr>
        <w:t>На №</w:t>
        <w:tab/>
        <w:t>от</w:t>
      </w:r>
    </w:p>
    <w:p>
      <w:pPr>
        <w:pStyle w:val="Style18"/>
        <w:widowControl w:val="0"/>
        <w:keepNext/>
        <w:keepLines/>
        <w:shd w:val="clear" w:color="auto" w:fill="auto"/>
        <w:bidi w:val="0"/>
        <w:spacing w:before="0" w:after="0" w:line="280" w:lineRule="exact"/>
        <w:ind w:left="0" w:right="0" w:firstLine="0"/>
      </w:pPr>
      <w:bookmarkStart w:id="1" w:name="bookmark1"/>
      <w:r>
        <w:rPr>
          <w:rStyle w:val="CharStyle20"/>
          <w:b/>
          <w:bCs/>
        </w:rPr>
        <w:t xml:space="preserve">монополияге </w:t>
      </w:r>
      <w:r>
        <w:rPr>
          <w:rStyle w:val="CharStyle21"/>
          <w:b/>
          <w:bCs/>
        </w:rPr>
        <w:t>каршы</w:t>
      </w:r>
      <w:bookmarkEnd w:id="1"/>
    </w:p>
    <w:p>
      <w:pPr>
        <w:pStyle w:val="Style3"/>
        <w:widowControl w:val="0"/>
        <w:keepNext w:val="0"/>
        <w:keepLines w:val="0"/>
        <w:shd w:val="clear" w:color="auto" w:fill="auto"/>
        <w:bidi w:val="0"/>
        <w:spacing w:before="0" w:after="264" w:line="220" w:lineRule="exact"/>
        <w:ind w:left="0" w:right="0" w:firstLine="0"/>
      </w:pPr>
      <w:r>
        <w:rPr>
          <w:rStyle w:val="CharStyle5"/>
          <w:b/>
          <w:bCs/>
        </w:rPr>
        <w:t>ФЕДЕРАЛЬ ХЕЗМЭТ</w:t>
      </w:r>
    </w:p>
    <w:p>
      <w:pPr>
        <w:pStyle w:val="Style3"/>
        <w:widowControl w:val="0"/>
        <w:keepNext w:val="0"/>
        <w:keepLines w:val="0"/>
        <w:shd w:val="clear" w:color="auto" w:fill="auto"/>
        <w:bidi w:val="0"/>
        <w:spacing w:before="0" w:after="181" w:line="281" w:lineRule="exact"/>
        <w:ind w:left="0" w:right="0" w:firstLine="0"/>
      </w:pPr>
      <w:r>
        <w:rPr>
          <w:rStyle w:val="CharStyle5"/>
          <w:b/>
          <w:bCs/>
        </w:rPr>
        <w:t>Мононолиягэ каршы Федераль хезмэтнен Татарстан Республикасы буенча идарэсе</w:t>
      </w:r>
    </w:p>
    <w:p>
      <w:pPr>
        <w:pStyle w:val="Style6"/>
        <w:widowControl w:val="0"/>
        <w:keepNext w:val="0"/>
        <w:keepLines w:val="0"/>
        <w:shd w:val="clear" w:color="auto" w:fill="auto"/>
        <w:bidi w:val="0"/>
        <w:spacing w:before="0" w:after="0"/>
        <w:ind w:left="0" w:right="0" w:firstLine="0"/>
        <w:sectPr>
          <w:footnotePr>
            <w:pos w:val="pageBottom"/>
            <w:numFmt w:val="decimal"/>
            <w:numRestart w:val="continuous"/>
          </w:footnotePr>
          <w:type w:val="continuous"/>
          <w:pgSz w:w="11906" w:h="16838"/>
          <w:pgMar w:top="700" w:left="838" w:right="1576" w:bottom="689" w:header="0" w:footer="3" w:gutter="0"/>
          <w:rtlGutter w:val="0"/>
          <w:cols w:num="2" w:space="720" w:equalWidth="0">
            <w:col w:w="4014" w:space="2311"/>
            <w:col w:w="3168"/>
          </w:cols>
          <w:noEndnote/>
          <w:docGrid w:linePitch="360"/>
        </w:sectPr>
      </w:pPr>
      <w:r>
        <w:rPr>
          <w:rStyle w:val="CharStyle8"/>
        </w:rPr>
        <w:t xml:space="preserve">Москоу ур„ 55 йорт, Казан </w:t>
      </w:r>
      <w:r>
        <w:rPr>
          <w:rStyle w:val="CharStyle8"/>
          <w:lang w:val="en-US" w:eastAsia="en-US" w:bidi="en-US"/>
        </w:rPr>
        <w:t xml:space="preserve">uiohope. </w:t>
      </w:r>
      <w:r>
        <w:rPr>
          <w:rStyle w:val="CharStyle8"/>
        </w:rPr>
        <w:t xml:space="preserve">420021 тел.: (843) 236-89-22. факс (843) 238-19-46 </w:t>
      </w:r>
      <w:r>
        <w:rPr>
          <w:rStyle w:val="CharStyle8"/>
          <w:lang w:val="en-US" w:eastAsia="en-US" w:bidi="en-US"/>
        </w:rPr>
        <w:t xml:space="preserve">e-mail: </w:t>
      </w:r>
      <w:r>
        <w:fldChar w:fldCharType="begin"/>
      </w:r>
      <w:r>
        <w:rPr>
          <w:rStyle w:val="CharStyle8"/>
        </w:rPr>
        <w:instrText> HYPERLINK "mailto:tol6@fas.gov.ru" </w:instrText>
      </w:r>
      <w:r>
        <w:fldChar w:fldCharType="separate"/>
      </w:r>
      <w:r>
        <w:rPr>
          <w:rStyle w:val="Hyperlink"/>
          <w:lang w:val="en-US" w:eastAsia="en-US" w:bidi="en-US"/>
        </w:rPr>
        <w:t>tol6@fas.gov.ru</w:t>
      </w:r>
      <w:r>
        <w:fldChar w:fldCharType="end"/>
      </w:r>
    </w:p>
    <w:p>
      <w:pPr>
        <w:widowControl w:val="0"/>
        <w:spacing w:line="240" w:lineRule="exact"/>
        <w:rPr>
          <w:sz w:val="19"/>
          <w:szCs w:val="19"/>
        </w:rPr>
      </w:pPr>
    </w:p>
    <w:p>
      <w:pPr>
        <w:widowControl w:val="0"/>
        <w:spacing w:before="105" w:after="10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2"/>
        <w:widowControl w:val="0"/>
        <w:keepNext w:val="0"/>
        <w:keepLines w:val="0"/>
        <w:shd w:val="clear" w:color="auto" w:fill="auto"/>
        <w:bidi w:val="0"/>
        <w:jc w:val="left"/>
        <w:spacing w:before="0" w:after="0"/>
        <w:ind w:left="5700" w:right="0" w:firstLine="0"/>
      </w:pPr>
      <w:r>
        <w:rPr>
          <w:lang w:val="ru-RU" w:eastAsia="ru-RU" w:bidi="ru-RU"/>
          <w:w w:val="100"/>
          <w:spacing w:val="0"/>
          <w:color w:val="000000"/>
          <w:position w:val="0"/>
        </w:rPr>
        <w:t>Заказчику:</w:t>
      </w:r>
    </w:p>
    <w:p>
      <w:pPr>
        <w:pStyle w:val="Style22"/>
        <w:widowControl w:val="0"/>
        <w:keepNext w:val="0"/>
        <w:keepLines w:val="0"/>
        <w:shd w:val="clear" w:color="auto" w:fill="auto"/>
        <w:bidi w:val="0"/>
        <w:jc w:val="left"/>
        <w:spacing w:before="0" w:after="351"/>
        <w:ind w:left="5700" w:right="340" w:firstLine="0"/>
      </w:pPr>
      <w:r>
        <w:rPr>
          <w:lang w:val="ru-RU" w:eastAsia="ru-RU" w:bidi="ru-RU"/>
          <w:w w:val="100"/>
          <w:spacing w:val="0"/>
          <w:color w:val="000000"/>
          <w:position w:val="0"/>
        </w:rPr>
        <w:t xml:space="preserve">Федеральное казенное учреждение «Федеральное управление автомобильных дорог Волго- Вятского региона Федерального дорожного агентства» </w:t>
      </w:r>
      <w:r>
        <w:fldChar w:fldCharType="begin"/>
      </w:r>
      <w:r>
        <w:rPr>
          <w:rStyle w:val="CharStyle24"/>
        </w:rPr>
        <w:instrText> HYPERLINK "mailto:vvfad@inbox.ru" </w:instrText>
      </w:r>
      <w:r>
        <w:fldChar w:fldCharType="separate"/>
      </w:r>
      <w:r>
        <w:rPr>
          <w:rStyle w:val="Hyperlink"/>
          <w:lang w:val="en-US" w:eastAsia="en-US" w:bidi="en-US"/>
        </w:rPr>
        <w:t>vvfad@inbox.ru</w:t>
      </w:r>
      <w:r>
        <w:fldChar w:fldCharType="end"/>
      </w:r>
    </w:p>
    <w:p>
      <w:pPr>
        <w:pStyle w:val="Style22"/>
        <w:widowControl w:val="0"/>
        <w:keepNext w:val="0"/>
        <w:keepLines w:val="0"/>
        <w:shd w:val="clear" w:color="auto" w:fill="auto"/>
        <w:bidi w:val="0"/>
        <w:jc w:val="left"/>
        <w:spacing w:before="0" w:after="0" w:line="260" w:lineRule="exact"/>
        <w:ind w:left="5700" w:right="0" w:firstLine="0"/>
      </w:pPr>
      <w:r>
        <w:rPr>
          <w:lang w:val="ru-RU" w:eastAsia="ru-RU" w:bidi="ru-RU"/>
          <w:w w:val="100"/>
          <w:spacing w:val="0"/>
          <w:color w:val="000000"/>
          <w:position w:val="0"/>
        </w:rPr>
        <w:t>Заявителю:</w:t>
      </w:r>
    </w:p>
    <w:p>
      <w:pPr>
        <w:pStyle w:val="Style22"/>
        <w:widowControl w:val="0"/>
        <w:keepNext w:val="0"/>
        <w:keepLines w:val="0"/>
        <w:shd w:val="clear" w:color="auto" w:fill="auto"/>
        <w:bidi w:val="0"/>
        <w:jc w:val="left"/>
        <w:spacing w:before="0" w:after="300" w:line="320" w:lineRule="exact"/>
        <w:ind w:left="5700" w:right="340" w:firstLine="0"/>
      </w:pPr>
      <w:r>
        <w:rPr>
          <w:lang w:val="ru-RU" w:eastAsia="ru-RU" w:bidi="ru-RU"/>
          <w:w w:val="100"/>
          <w:spacing w:val="0"/>
          <w:color w:val="000000"/>
          <w:position w:val="0"/>
        </w:rPr>
        <w:t xml:space="preserve">ООО «Асгард» </w:t>
      </w:r>
      <w:r>
        <w:fldChar w:fldCharType="begin"/>
      </w:r>
      <w:r>
        <w:rPr>
          <w:rStyle w:val="CharStyle24"/>
        </w:rPr>
        <w:instrText> HYPERLINK "mailto:wal@asgardpro.ru" </w:instrText>
      </w:r>
      <w:r>
        <w:fldChar w:fldCharType="separate"/>
      </w:r>
      <w:r>
        <w:rPr>
          <w:rStyle w:val="Hyperlink"/>
          <w:lang w:val="en-US" w:eastAsia="en-US" w:bidi="en-US"/>
        </w:rPr>
        <w:t>wal@asgardpro.ru</w:t>
      </w:r>
      <w:r>
        <w:fldChar w:fldCharType="end"/>
      </w:r>
    </w:p>
    <w:p>
      <w:pPr>
        <w:pStyle w:val="Style25"/>
        <w:widowControl w:val="0"/>
        <w:keepNext/>
        <w:keepLines/>
        <w:shd w:val="clear" w:color="auto" w:fill="auto"/>
        <w:bidi w:val="0"/>
        <w:spacing w:before="0" w:after="348"/>
        <w:ind w:left="0" w:right="0" w:firstLine="0"/>
      </w:pPr>
      <w:bookmarkStart w:id="2" w:name="bookmark2"/>
      <w:r>
        <w:rPr>
          <w:lang w:val="ru-RU" w:eastAsia="ru-RU" w:bidi="ru-RU"/>
          <w:w w:val="100"/>
          <w:spacing w:val="0"/>
          <w:color w:val="000000"/>
          <w:position w:val="0"/>
        </w:rPr>
        <w:t>Решение по делу №016/06/54.3-1972/2021 о нарушении законодательства в сфере закупок товаров, работ, услуг для обеспечения государственных и муниципальных нужд</w:t>
      </w:r>
      <w:bookmarkEnd w:id="2"/>
    </w:p>
    <w:p>
      <w:pPr>
        <w:pStyle w:val="Style22"/>
        <w:tabs>
          <w:tab w:leader="none" w:pos="9103" w:val="left"/>
        </w:tabs>
        <w:widowControl w:val="0"/>
        <w:keepNext w:val="0"/>
        <w:keepLines w:val="0"/>
        <w:shd w:val="clear" w:color="auto" w:fill="auto"/>
        <w:bidi w:val="0"/>
        <w:jc w:val="both"/>
        <w:spacing w:before="0" w:after="309" w:line="260" w:lineRule="exact"/>
        <w:ind w:left="20" w:right="0" w:firstLine="0"/>
      </w:pPr>
      <w:r>
        <w:rPr>
          <w:lang w:val="ru-RU" w:eastAsia="ru-RU" w:bidi="ru-RU"/>
          <w:w w:val="100"/>
          <w:spacing w:val="0"/>
          <w:color w:val="000000"/>
          <w:position w:val="0"/>
        </w:rPr>
        <w:t>21 октября 2021 года</w:t>
        <w:tab/>
        <w:t>г. Казань</w:t>
      </w:r>
    </w:p>
    <w:p>
      <w:pPr>
        <w:pStyle w:val="Style22"/>
        <w:widowControl w:val="0"/>
        <w:keepNext w:val="0"/>
        <w:keepLines w:val="0"/>
        <w:shd w:val="clear" w:color="auto" w:fill="auto"/>
        <w:bidi w:val="0"/>
        <w:jc w:val="both"/>
        <w:spacing w:before="0" w:after="0" w:line="317" w:lineRule="exact"/>
        <w:ind w:left="20" w:right="40" w:firstLine="700"/>
      </w:pPr>
      <w:r>
        <w:rPr>
          <w:lang w:val="ru-RU" w:eastAsia="ru-RU" w:bidi="ru-RU"/>
          <w:w w:val="100"/>
          <w:spacing w:val="0"/>
          <w:color w:val="000000"/>
          <w:position w:val="0"/>
        </w:rPr>
        <w:t>Комиссия Управления Федеральной антимонопольной службы по Республике Татарстан по контролю в сфере закупок товаров, работ, услуг для обеспечения государственных и муниципальных нужд (далее - Комиссия) в составе:</w:t>
      </w:r>
    </w:p>
    <w:p>
      <w:pPr>
        <w:pStyle w:val="Style22"/>
        <w:tabs>
          <w:tab w:leader="none" w:pos="5776" w:val="center"/>
          <w:tab w:leader="none" w:pos="10094" w:val="right"/>
          <w:tab w:leader="none" w:pos="10091" w:val="right"/>
        </w:tabs>
        <w:widowControl w:val="0"/>
        <w:keepNext w:val="0"/>
        <w:keepLines w:val="0"/>
        <w:shd w:val="clear" w:color="auto" w:fill="auto"/>
        <w:bidi w:val="0"/>
        <w:jc w:val="both"/>
        <w:spacing w:before="0" w:after="0" w:line="317" w:lineRule="exact"/>
        <w:ind w:left="20" w:right="0" w:firstLine="700"/>
      </w:pPr>
      <w:r>
        <w:rPr>
          <w:lang w:val="ru-RU" w:eastAsia="ru-RU" w:bidi="ru-RU"/>
          <w:w w:val="100"/>
          <w:spacing w:val="0"/>
          <w:color w:val="000000"/>
          <w:position w:val="0"/>
        </w:rPr>
        <w:t>Председателя Комиссии:</w:t>
        <w:tab/>
        <w:t>Яфизова</w:t>
        <w:tab/>
        <w:t>А.А.</w:t>
        <w:tab/>
        <w:t>- заместителя</w:t>
      </w:r>
    </w:p>
    <w:p>
      <w:pPr>
        <w:pStyle w:val="Style22"/>
        <w:widowControl w:val="0"/>
        <w:keepNext w:val="0"/>
        <w:keepLines w:val="0"/>
        <w:shd w:val="clear" w:color="auto" w:fill="auto"/>
        <w:bidi w:val="0"/>
        <w:jc w:val="left"/>
        <w:spacing w:before="0" w:after="0" w:line="317" w:lineRule="exact"/>
        <w:ind w:left="20" w:right="0" w:firstLine="5240"/>
      </w:pPr>
      <w:r>
        <w:rPr>
          <w:lang w:val="ru-RU" w:eastAsia="ru-RU" w:bidi="ru-RU"/>
          <w:w w:val="100"/>
          <w:spacing w:val="0"/>
          <w:color w:val="000000"/>
          <w:position w:val="0"/>
        </w:rPr>
        <w:t>руководителя,</w:t>
      </w:r>
    </w:p>
    <w:p>
      <w:pPr>
        <w:pStyle w:val="Style22"/>
        <w:tabs>
          <w:tab w:leader="none" w:pos="5776" w:val="center"/>
          <w:tab w:leader="none" w:pos="7218" w:val="right"/>
          <w:tab w:leader="none" w:pos="7510" w:val="right"/>
          <w:tab w:leader="none" w:pos="8352" w:val="right"/>
          <w:tab w:leader="none" w:pos="10094" w:val="right"/>
        </w:tabs>
        <w:widowControl w:val="0"/>
        <w:keepNext w:val="0"/>
        <w:keepLines w:val="0"/>
        <w:shd w:val="clear" w:color="auto" w:fill="auto"/>
        <w:bidi w:val="0"/>
        <w:jc w:val="both"/>
        <w:spacing w:before="0" w:after="0" w:line="317" w:lineRule="exact"/>
        <w:ind w:left="20" w:right="0" w:firstLine="700"/>
      </w:pPr>
      <w:r>
        <w:rPr>
          <w:lang w:val="ru-RU" w:eastAsia="ru-RU" w:bidi="ru-RU"/>
          <w:w w:val="100"/>
          <w:spacing w:val="0"/>
          <w:color w:val="000000"/>
          <w:position w:val="0"/>
        </w:rPr>
        <w:t>Членов Комиссии:</w:t>
        <w:tab/>
        <w:t>Кучеевой</w:t>
        <w:tab/>
        <w:t>А</w:t>
        <w:tab/>
        <w:t>.С.</w:t>
        <w:tab/>
        <w:t>-</w:t>
        <w:tab/>
        <w:t>старшего</w:t>
      </w:r>
    </w:p>
    <w:p>
      <w:pPr>
        <w:pStyle w:val="Style22"/>
        <w:widowControl w:val="0"/>
        <w:keepNext w:val="0"/>
        <w:keepLines w:val="0"/>
        <w:shd w:val="clear" w:color="auto" w:fill="auto"/>
        <w:bidi w:val="0"/>
        <w:jc w:val="left"/>
        <w:spacing w:before="0" w:after="0" w:line="317" w:lineRule="exact"/>
        <w:ind w:left="20" w:right="0" w:firstLine="5240"/>
      </w:pPr>
      <w:r>
        <w:rPr>
          <w:lang w:val="ru-RU" w:eastAsia="ru-RU" w:bidi="ru-RU"/>
          <w:w w:val="100"/>
          <w:spacing w:val="0"/>
          <w:color w:val="000000"/>
          <w:position w:val="0"/>
        </w:rPr>
        <w:t>государственного инспектора,</w:t>
      </w:r>
    </w:p>
    <w:p>
      <w:pPr>
        <w:pStyle w:val="Style22"/>
        <w:widowControl w:val="0"/>
        <w:keepNext w:val="0"/>
        <w:keepLines w:val="0"/>
        <w:shd w:val="clear" w:color="auto" w:fill="auto"/>
        <w:bidi w:val="0"/>
        <w:jc w:val="left"/>
        <w:spacing w:before="0" w:after="0" w:line="317" w:lineRule="exact"/>
        <w:ind w:left="20" w:right="40" w:firstLine="5240"/>
      </w:pPr>
      <w:r>
        <w:rPr>
          <w:lang w:val="ru-RU" w:eastAsia="ru-RU" w:bidi="ru-RU"/>
          <w:w w:val="100"/>
          <w:spacing w:val="0"/>
          <w:color w:val="000000"/>
          <w:position w:val="0"/>
        </w:rPr>
        <w:t>Акперовой Л.А. - ведущего специалиста-эксперта, в присутствии представителей заказчика ФКУ «Федеральное управление автомобильных дорог Волго-Вятского региона Федерального дорожного агентства» - Панковой З.В. (доверенность от 05.08.2020г. №105), Насыбуллина И.Р. (доверенность от 29.12.2020г. №140), Воробьевой О.Г. (доверенность от 04.06.2021г.</w:t>
      </w:r>
      <w:r>
        <w:br w:type="page"/>
      </w:r>
    </w:p>
    <w:p>
      <w:pPr>
        <w:pStyle w:val="Style22"/>
        <w:widowControl w:val="0"/>
        <w:keepNext w:val="0"/>
        <w:keepLines w:val="0"/>
        <w:shd w:val="clear" w:color="auto" w:fill="auto"/>
        <w:bidi w:val="0"/>
        <w:jc w:val="both"/>
        <w:spacing w:before="0" w:after="294" w:line="328" w:lineRule="exact"/>
        <w:ind w:left="20" w:right="20" w:firstLine="0"/>
      </w:pPr>
      <w:r>
        <w:rPr>
          <w:lang w:val="ru-RU" w:eastAsia="ru-RU" w:bidi="ru-RU"/>
          <w:w w:val="100"/>
          <w:spacing w:val="0"/>
          <w:color w:val="000000"/>
          <w:position w:val="0"/>
        </w:rPr>
        <w:t>№65), в отсутствии представителей заявителя ООО «Асгард», о времени и месте рассмотрения жалобы уведомленных надлежащим образом, рассмотрев в режиме видеоконференцсвязи жалобу заявителя ООО «Асгард» (вх. № 13925/ж от 15.10.2021г.) на действия заказчика ФКУ «Федеральное управление автомобильных дорог Волго-Вятского региона Федерального дорожного агентства» при проведении закупки №0311100007221000085 на предмет: «Установка противоослепляющих экранов на автомобильных дорогах»,</w:t>
      </w:r>
    </w:p>
    <w:p>
      <w:pPr>
        <w:pStyle w:val="Style22"/>
        <w:widowControl w:val="0"/>
        <w:keepNext w:val="0"/>
        <w:keepLines w:val="0"/>
        <w:shd w:val="clear" w:color="auto" w:fill="auto"/>
        <w:bidi w:val="0"/>
        <w:jc w:val="center"/>
        <w:spacing w:before="0" w:after="306" w:line="260" w:lineRule="exact"/>
        <w:ind w:left="0" w:right="0" w:firstLine="0"/>
      </w:pPr>
      <w:r>
        <w:rPr>
          <w:lang w:val="ru-RU" w:eastAsia="ru-RU" w:bidi="ru-RU"/>
          <w:w w:val="100"/>
          <w:spacing w:val="0"/>
          <w:color w:val="000000"/>
          <w:position w:val="0"/>
        </w:rPr>
        <w:t>УСТАНОВИЛА</w:t>
      </w:r>
    </w:p>
    <w:p>
      <w:pPr>
        <w:pStyle w:val="Style22"/>
        <w:widowControl w:val="0"/>
        <w:keepNext w:val="0"/>
        <w:keepLines w:val="0"/>
        <w:shd w:val="clear" w:color="auto" w:fill="auto"/>
        <w:bidi w:val="0"/>
        <w:jc w:val="both"/>
        <w:spacing w:before="0" w:after="0" w:line="320" w:lineRule="exact"/>
        <w:ind w:left="20" w:right="20" w:firstLine="680"/>
      </w:pPr>
      <w:r>
        <w:rPr>
          <w:lang w:val="ru-RU" w:eastAsia="ru-RU" w:bidi="ru-RU"/>
          <w:w w:val="100"/>
          <w:spacing w:val="0"/>
          <w:color w:val="000000"/>
          <w:position w:val="0"/>
        </w:rPr>
        <w:t xml:space="preserve">Извещение о проведении открытого конкурса в электронной форме №0311100007221000085 размещено на официальном сайте Российской Федерации </w:t>
      </w:r>
      <w:r>
        <w:rPr>
          <w:rStyle w:val="CharStyle24"/>
          <w:lang w:val="en-US" w:eastAsia="en-US" w:bidi="en-US"/>
        </w:rPr>
        <w:t>vvww.zakupki.gov.ru</w:t>
      </w:r>
      <w:r>
        <w:rPr>
          <w:lang w:val="en-US" w:eastAsia="en-US" w:bidi="en-US"/>
          <w:w w:val="100"/>
          <w:spacing w:val="0"/>
          <w:color w:val="000000"/>
          <w:position w:val="0"/>
        </w:rPr>
        <w:t xml:space="preserve"> </w:t>
      </w:r>
      <w:r>
        <w:rPr>
          <w:lang w:val="ru-RU" w:eastAsia="ru-RU" w:bidi="ru-RU"/>
          <w:w w:val="100"/>
          <w:spacing w:val="0"/>
          <w:color w:val="000000"/>
          <w:position w:val="0"/>
        </w:rPr>
        <w:t>24.09.2021г.</w:t>
      </w:r>
    </w:p>
    <w:p>
      <w:pPr>
        <w:pStyle w:val="Style22"/>
        <w:widowControl w:val="0"/>
        <w:keepNext w:val="0"/>
        <w:keepLines w:val="0"/>
        <w:shd w:val="clear" w:color="auto" w:fill="auto"/>
        <w:bidi w:val="0"/>
        <w:jc w:val="both"/>
        <w:spacing w:before="0" w:after="0" w:line="320" w:lineRule="exact"/>
        <w:ind w:left="20" w:right="20" w:firstLine="680"/>
      </w:pPr>
      <w:r>
        <w:rPr>
          <w:lang w:val="ru-RU" w:eastAsia="ru-RU" w:bidi="ru-RU"/>
          <w:w w:val="100"/>
          <w:spacing w:val="0"/>
          <w:color w:val="000000"/>
          <w:position w:val="0"/>
        </w:rPr>
        <w:t>Заказчик - ФКУ «Федеральное управление автомобильных дорог Волго- Вятского региона Федерального дорожного агентства».</w:t>
      </w:r>
    </w:p>
    <w:p>
      <w:pPr>
        <w:pStyle w:val="Style22"/>
        <w:widowControl w:val="0"/>
        <w:keepNext w:val="0"/>
        <w:keepLines w:val="0"/>
        <w:shd w:val="clear" w:color="auto" w:fill="auto"/>
        <w:bidi w:val="0"/>
        <w:jc w:val="both"/>
        <w:spacing w:before="0" w:after="0" w:line="320" w:lineRule="exact"/>
        <w:ind w:left="20" w:right="0" w:firstLine="680"/>
      </w:pPr>
      <w:r>
        <w:rPr>
          <w:lang w:val="ru-RU" w:eastAsia="ru-RU" w:bidi="ru-RU"/>
          <w:w w:val="100"/>
          <w:spacing w:val="0"/>
          <w:color w:val="000000"/>
          <w:position w:val="0"/>
        </w:rPr>
        <w:t>Начальная (максимальная) цена контракта - 99 960 000,00 руб.</w:t>
      </w:r>
    </w:p>
    <w:p>
      <w:pPr>
        <w:pStyle w:val="Style22"/>
        <w:widowControl w:val="0"/>
        <w:keepNext w:val="0"/>
        <w:keepLines w:val="0"/>
        <w:shd w:val="clear" w:color="auto" w:fill="auto"/>
        <w:bidi w:val="0"/>
        <w:jc w:val="both"/>
        <w:spacing w:before="0" w:after="0" w:line="320" w:lineRule="exact"/>
        <w:ind w:left="20" w:right="20" w:firstLine="680"/>
      </w:pPr>
      <w:r>
        <w:rPr>
          <w:lang w:val="ru-RU" w:eastAsia="ru-RU" w:bidi="ru-RU"/>
          <w:w w:val="100"/>
          <w:spacing w:val="0"/>
          <w:color w:val="000000"/>
          <w:position w:val="0"/>
        </w:rPr>
        <w:t>Суть жалобы, по мнению заявителя, в действиях заказчика при проведении закупки содержатся нарушения норм действующего законодательства, а именно заказчиком установлен ненадлежащий нестоимостной критерий оценки заявок участников.</w:t>
      </w:r>
    </w:p>
    <w:p>
      <w:pPr>
        <w:pStyle w:val="Style22"/>
        <w:widowControl w:val="0"/>
        <w:keepNext w:val="0"/>
        <w:keepLines w:val="0"/>
        <w:shd w:val="clear" w:color="auto" w:fill="auto"/>
        <w:bidi w:val="0"/>
        <w:jc w:val="both"/>
        <w:spacing w:before="0" w:after="0" w:line="320" w:lineRule="exact"/>
        <w:ind w:left="20" w:right="20" w:firstLine="680"/>
      </w:pPr>
      <w:r>
        <w:rPr>
          <w:lang w:val="ru-RU" w:eastAsia="ru-RU" w:bidi="ru-RU"/>
          <w:w w:val="100"/>
          <w:spacing w:val="0"/>
          <w:color w:val="000000"/>
          <w:position w:val="0"/>
        </w:rPr>
        <w:t>Заказчик с доводами, изложенными в жалобе не согласился, представил устные и письменные пояснения, а также документы по закупке, которые приобщены к материалам дела.</w:t>
      </w:r>
    </w:p>
    <w:p>
      <w:pPr>
        <w:pStyle w:val="Style27"/>
        <w:widowControl w:val="0"/>
        <w:keepNext w:val="0"/>
        <w:keepLines w:val="0"/>
        <w:shd w:val="clear" w:color="auto" w:fill="auto"/>
        <w:bidi w:val="0"/>
        <w:spacing w:before="0" w:after="0"/>
        <w:ind w:left="20" w:right="20"/>
      </w:pPr>
      <w:r>
        <w:rPr>
          <w:lang w:val="ru-RU" w:eastAsia="ru-RU" w:bidi="ru-RU"/>
          <w:w w:val="100"/>
          <w:spacing w:val="0"/>
          <w:color w:val="000000"/>
          <w:position w:val="0"/>
        </w:rPr>
        <w:t>Комиссия Татарстанского УФАС России по результатам рассмотрения доводов заявителя на действия заказчика, позиции заказчика, изучения документации приходит к следующим выводам.</w:t>
      </w:r>
    </w:p>
    <w:p>
      <w:pPr>
        <w:pStyle w:val="Style22"/>
        <w:widowControl w:val="0"/>
        <w:keepNext w:val="0"/>
        <w:keepLines w:val="0"/>
        <w:shd w:val="clear" w:color="auto" w:fill="auto"/>
        <w:bidi w:val="0"/>
        <w:jc w:val="both"/>
        <w:spacing w:before="0" w:after="0" w:line="320" w:lineRule="exact"/>
        <w:ind w:left="20" w:right="20" w:firstLine="680"/>
      </w:pPr>
      <w:r>
        <w:rPr>
          <w:lang w:val="ru-RU" w:eastAsia="ru-RU" w:bidi="ru-RU"/>
          <w:w w:val="100"/>
          <w:spacing w:val="0"/>
          <w:color w:val="000000"/>
          <w:position w:val="0"/>
        </w:rPr>
        <w:t>В соответствии с пунктом 8 части 1 статьи 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настоящим Федеральным законом.</w:t>
      </w:r>
    </w:p>
    <w:p>
      <w:pPr>
        <w:pStyle w:val="Style22"/>
        <w:widowControl w:val="0"/>
        <w:keepNext w:val="0"/>
        <w:keepLines w:val="0"/>
        <w:shd w:val="clear" w:color="auto" w:fill="auto"/>
        <w:bidi w:val="0"/>
        <w:jc w:val="both"/>
        <w:spacing w:before="0" w:after="0" w:line="320" w:lineRule="exact"/>
        <w:ind w:left="20" w:right="20" w:firstLine="680"/>
      </w:pPr>
      <w:r>
        <w:rPr>
          <w:lang w:val="ru-RU" w:eastAsia="ru-RU" w:bidi="ru-RU"/>
          <w:w w:val="100"/>
          <w:spacing w:val="0"/>
          <w:color w:val="000000"/>
          <w:position w:val="0"/>
        </w:rPr>
        <w:t>В соответствии с частью 1 статьи 32 Закона о контрактной системе для оценки заявок, окончательных предложений участников закупки заказчик в документации о закупке устанавливает следующие критерии:</w:t>
      </w:r>
    </w:p>
    <w:p>
      <w:pPr>
        <w:pStyle w:val="Style22"/>
        <w:numPr>
          <w:ilvl w:val="0"/>
          <w:numId w:val="1"/>
        </w:numPr>
        <w:widowControl w:val="0"/>
        <w:keepNext w:val="0"/>
        <w:keepLines w:val="0"/>
        <w:shd w:val="clear" w:color="auto" w:fill="auto"/>
        <w:bidi w:val="0"/>
        <w:jc w:val="both"/>
        <w:spacing w:before="0" w:after="0" w:line="320" w:lineRule="exact"/>
        <w:ind w:left="20" w:right="0" w:firstLine="680"/>
      </w:pPr>
      <w:r>
        <w:rPr>
          <w:lang w:val="ru-RU" w:eastAsia="ru-RU" w:bidi="ru-RU"/>
          <w:w w:val="100"/>
          <w:spacing w:val="0"/>
          <w:color w:val="000000"/>
          <w:position w:val="0"/>
        </w:rPr>
        <w:t xml:space="preserve"> цена контракта, сумма цен единиц товара, работы, услуги;</w:t>
      </w:r>
    </w:p>
    <w:p>
      <w:pPr>
        <w:pStyle w:val="Style22"/>
        <w:numPr>
          <w:ilvl w:val="0"/>
          <w:numId w:val="1"/>
        </w:numPr>
        <w:widowControl w:val="0"/>
        <w:keepNext w:val="0"/>
        <w:keepLines w:val="0"/>
        <w:shd w:val="clear" w:color="auto" w:fill="auto"/>
        <w:bidi w:val="0"/>
        <w:jc w:val="both"/>
        <w:spacing w:before="0" w:after="0" w:line="320" w:lineRule="exact"/>
        <w:ind w:left="20" w:right="20" w:firstLine="680"/>
      </w:pPr>
      <w:r>
        <w:rPr>
          <w:lang w:val="ru-RU" w:eastAsia="ru-RU" w:bidi="ru-RU"/>
          <w:w w:val="100"/>
          <w:spacing w:val="0"/>
          <w:color w:val="000000"/>
          <w:position w:val="0"/>
        </w:rPr>
        <w:t xml:space="preserve"> расходы на эксплуатацию и ремонт товаров, использование результатов работ;</w:t>
      </w:r>
    </w:p>
    <w:p>
      <w:pPr>
        <w:pStyle w:val="Style22"/>
        <w:numPr>
          <w:ilvl w:val="0"/>
          <w:numId w:val="1"/>
        </w:numPr>
        <w:widowControl w:val="0"/>
        <w:keepNext w:val="0"/>
        <w:keepLines w:val="0"/>
        <w:shd w:val="clear" w:color="auto" w:fill="auto"/>
        <w:bidi w:val="0"/>
        <w:jc w:val="both"/>
        <w:spacing w:before="0" w:after="0" w:line="320" w:lineRule="exact"/>
        <w:ind w:left="20" w:right="0" w:firstLine="680"/>
      </w:pPr>
      <w:r>
        <w:rPr>
          <w:lang w:val="ru-RU" w:eastAsia="ru-RU" w:bidi="ru-RU"/>
          <w:w w:val="100"/>
          <w:spacing w:val="0"/>
          <w:color w:val="000000"/>
          <w:position w:val="0"/>
        </w:rPr>
        <w:t xml:space="preserve"> качественные, функциональные и экологические характеристики объекта</w:t>
      </w:r>
    </w:p>
    <w:p>
      <w:pPr>
        <w:pStyle w:val="Style22"/>
        <w:widowControl w:val="0"/>
        <w:keepNext w:val="0"/>
        <w:keepLines w:val="0"/>
        <w:shd w:val="clear" w:color="auto" w:fill="auto"/>
        <w:bidi w:val="0"/>
        <w:jc w:val="both"/>
        <w:spacing w:before="0" w:after="0" w:line="320" w:lineRule="exact"/>
        <w:ind w:left="20" w:right="0" w:firstLine="0"/>
      </w:pPr>
      <w:r>
        <w:rPr>
          <w:lang w:val="ru-RU" w:eastAsia="ru-RU" w:bidi="ru-RU"/>
          <w:w w:val="100"/>
          <w:spacing w:val="0"/>
          <w:color w:val="000000"/>
          <w:position w:val="0"/>
        </w:rPr>
        <w:t>закупки;</w:t>
      </w:r>
    </w:p>
    <w:p>
      <w:pPr>
        <w:pStyle w:val="Style22"/>
        <w:numPr>
          <w:ilvl w:val="0"/>
          <w:numId w:val="1"/>
        </w:numPr>
        <w:widowControl w:val="0"/>
        <w:keepNext w:val="0"/>
        <w:keepLines w:val="0"/>
        <w:shd w:val="clear" w:color="auto" w:fill="auto"/>
        <w:bidi w:val="0"/>
        <w:jc w:val="both"/>
        <w:spacing w:before="0" w:after="0" w:line="320" w:lineRule="exact"/>
        <w:ind w:left="20" w:right="20" w:firstLine="680"/>
      </w:pPr>
      <w:r>
        <w:rPr>
          <w:lang w:val="ru-RU" w:eastAsia="ru-RU" w:bidi="ru-RU"/>
          <w:w w:val="100"/>
          <w:spacing w:val="0"/>
          <w:color w:val="000000"/>
          <w:position w:val="0"/>
        </w:rPr>
        <w:t xml:space="preserve">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22"/>
        <w:widowControl w:val="0"/>
        <w:keepNext w:val="0"/>
        <w:keepLines w:val="0"/>
        <w:shd w:val="clear" w:color="auto" w:fill="auto"/>
        <w:bidi w:val="0"/>
        <w:jc w:val="both"/>
        <w:spacing w:before="0" w:after="0"/>
        <w:ind w:left="20" w:right="20" w:firstLine="660"/>
      </w:pPr>
      <w:r>
        <w:rPr>
          <w:lang w:val="ru-RU" w:eastAsia="ru-RU" w:bidi="ru-RU"/>
          <w:w w:val="100"/>
          <w:spacing w:val="0"/>
          <w:color w:val="000000"/>
          <w:position w:val="0"/>
        </w:rPr>
        <w:t xml:space="preserve">Правила оценки заявок, окончательных предложений участников закупки товаров, работ, услуг для обеспечения государственных и муниципальных нужд (далее - закупка) в целях выявления лучших из предложенных условий исполнения контракта при проведении закупки, а также предельные величины значимости каждого критерия оценки заявок, окончательных предложений участников закупки утверждены постановлением Правительства Российской Федерации от 28 ноября 2013 г. </w:t>
      </w:r>
      <w:r>
        <w:rPr>
          <w:lang w:val="en-US" w:eastAsia="en-US" w:bidi="en-US"/>
          <w:w w:val="100"/>
          <w:spacing w:val="0"/>
          <w:color w:val="000000"/>
          <w:position w:val="0"/>
        </w:rPr>
        <w:t xml:space="preserve">N </w:t>
      </w:r>
      <w:r>
        <w:rPr>
          <w:lang w:val="ru-RU" w:eastAsia="ru-RU" w:bidi="ru-RU"/>
          <w:w w:val="100"/>
          <w:spacing w:val="0"/>
          <w:color w:val="000000"/>
          <w:position w:val="0"/>
        </w:rPr>
        <w:t>1085 (далее - Правила).</w:t>
      </w:r>
    </w:p>
    <w:p>
      <w:pPr>
        <w:pStyle w:val="Style22"/>
        <w:widowControl w:val="0"/>
        <w:keepNext w:val="0"/>
        <w:keepLines w:val="0"/>
        <w:shd w:val="clear" w:color="auto" w:fill="auto"/>
        <w:bidi w:val="0"/>
        <w:jc w:val="both"/>
        <w:spacing w:before="0" w:after="0"/>
        <w:ind w:left="20" w:right="20" w:firstLine="660"/>
      </w:pPr>
      <w:r>
        <w:rPr>
          <w:lang w:val="ru-RU" w:eastAsia="ru-RU" w:bidi="ru-RU"/>
          <w:w w:val="100"/>
          <w:spacing w:val="0"/>
          <w:color w:val="000000"/>
          <w:position w:val="0"/>
        </w:rPr>
        <w:t>Согласно пункту 3 Правил оценка - процесс выявления в соответствии с условиями определения поставщиков (подрядчиков, исполнителей) по критериям оценки и в порядке, установленном в документации о закупке в соответствии с требованиями Правил, лучших условий исполнения контракта, указанных в заявках (предложениях) участников закупки, которые не были отклонены.</w:t>
      </w:r>
    </w:p>
    <w:p>
      <w:pPr>
        <w:pStyle w:val="Style22"/>
        <w:widowControl w:val="0"/>
        <w:keepNext w:val="0"/>
        <w:keepLines w:val="0"/>
        <w:shd w:val="clear" w:color="auto" w:fill="auto"/>
        <w:bidi w:val="0"/>
        <w:jc w:val="both"/>
        <w:spacing w:before="0" w:after="0"/>
        <w:ind w:left="20" w:right="20" w:firstLine="660"/>
      </w:pPr>
      <w:r>
        <w:rPr>
          <w:lang w:val="ru-RU" w:eastAsia="ru-RU" w:bidi="ru-RU"/>
          <w:w w:val="100"/>
          <w:spacing w:val="0"/>
          <w:color w:val="000000"/>
          <w:position w:val="0"/>
        </w:rPr>
        <w:t>Согласно пункту 27 Правил показателями нестоимостного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могут быть следующие показатели (с учетом особенностей, предусмотренных пунктом 27(1) настоящих Правил):</w:t>
      </w:r>
    </w:p>
    <w:p>
      <w:pPr>
        <w:pStyle w:val="Style22"/>
        <w:widowControl w:val="0"/>
        <w:keepNext w:val="0"/>
        <w:keepLines w:val="0"/>
        <w:shd w:val="clear" w:color="auto" w:fill="auto"/>
        <w:bidi w:val="0"/>
        <w:jc w:val="both"/>
        <w:spacing w:before="0" w:after="0"/>
        <w:ind w:left="20" w:right="20" w:firstLine="660"/>
      </w:pPr>
      <w:r>
        <w:rPr>
          <w:lang w:val="ru-RU" w:eastAsia="ru-RU" w:bidi="ru-RU"/>
          <w:w w:val="100"/>
          <w:spacing w:val="0"/>
          <w:color w:val="000000"/>
          <w:position w:val="0"/>
        </w:rPr>
        <w:t>а) квалификация трудовых ресурсов (руководителей и ключевых специалистов), предлагаемых для выполнения работ, оказания услуг;</w:t>
      </w:r>
    </w:p>
    <w:p>
      <w:pPr>
        <w:pStyle w:val="Style22"/>
        <w:widowControl w:val="0"/>
        <w:keepNext w:val="0"/>
        <w:keepLines w:val="0"/>
        <w:shd w:val="clear" w:color="auto" w:fill="auto"/>
        <w:bidi w:val="0"/>
        <w:jc w:val="both"/>
        <w:spacing w:before="0" w:after="0"/>
        <w:ind w:left="20" w:right="20" w:firstLine="660"/>
      </w:pPr>
      <w:r>
        <w:rPr>
          <w:lang w:val="ru-RU" w:eastAsia="ru-RU" w:bidi="ru-RU"/>
          <w:w w:val="100"/>
          <w:spacing w:val="0"/>
          <w:color w:val="000000"/>
          <w:position w:val="0"/>
        </w:rPr>
        <w:t>б) опыт участника по успешной поставке товара, выполнению работ, оказанию услуг сопоставимого характера и объема;</w:t>
      </w:r>
    </w:p>
    <w:p>
      <w:pPr>
        <w:pStyle w:val="Style22"/>
        <w:widowControl w:val="0"/>
        <w:keepNext w:val="0"/>
        <w:keepLines w:val="0"/>
        <w:shd w:val="clear" w:color="auto" w:fill="auto"/>
        <w:bidi w:val="0"/>
        <w:jc w:val="both"/>
        <w:spacing w:before="0" w:after="0"/>
        <w:ind w:left="20" w:right="20" w:firstLine="660"/>
      </w:pPr>
      <w:r>
        <w:rPr>
          <w:lang w:val="ru-RU" w:eastAsia="ru-RU" w:bidi="ru-RU"/>
          <w:w w:val="100"/>
          <w:spacing w:val="0"/>
          <w:color w:val="000000"/>
          <w:position w:val="0"/>
        </w:rPr>
        <w:t>в) обеспеченность участника закупки материально-техническими ресурсами в части наличия у участника закупки собственных или арендованных производственных мощностей, технологического оборудования, необходимых для выполнения работ, оказания услуг;</w:t>
      </w:r>
    </w:p>
    <w:p>
      <w:pPr>
        <w:pStyle w:val="Style22"/>
        <w:widowControl w:val="0"/>
        <w:keepNext w:val="0"/>
        <w:keepLines w:val="0"/>
        <w:shd w:val="clear" w:color="auto" w:fill="auto"/>
        <w:bidi w:val="0"/>
        <w:jc w:val="both"/>
        <w:spacing w:before="0" w:after="0"/>
        <w:ind w:left="20" w:right="0" w:firstLine="660"/>
      </w:pPr>
      <w:r>
        <w:rPr>
          <w:lang w:val="ru-RU" w:eastAsia="ru-RU" w:bidi="ru-RU"/>
          <w:w w:val="100"/>
          <w:spacing w:val="0"/>
          <w:color w:val="000000"/>
          <w:position w:val="0"/>
        </w:rPr>
        <w:t>г) обеспеченность участника закупки трудовыми ресурсами;</w:t>
      </w:r>
    </w:p>
    <w:p>
      <w:pPr>
        <w:pStyle w:val="Style22"/>
        <w:widowControl w:val="0"/>
        <w:keepNext w:val="0"/>
        <w:keepLines w:val="0"/>
        <w:shd w:val="clear" w:color="auto" w:fill="auto"/>
        <w:bidi w:val="0"/>
        <w:jc w:val="both"/>
        <w:spacing w:before="0" w:after="0"/>
        <w:ind w:left="20" w:right="0" w:firstLine="660"/>
      </w:pPr>
      <w:r>
        <w:rPr>
          <w:lang w:val="ru-RU" w:eastAsia="ru-RU" w:bidi="ru-RU"/>
          <w:w w:val="100"/>
          <w:spacing w:val="0"/>
          <w:color w:val="000000"/>
          <w:position w:val="0"/>
        </w:rPr>
        <w:t>д) деловая репутация участника закупки.</w:t>
      </w:r>
    </w:p>
    <w:p>
      <w:pPr>
        <w:pStyle w:val="Style22"/>
        <w:widowControl w:val="0"/>
        <w:keepNext w:val="0"/>
        <w:keepLines w:val="0"/>
        <w:shd w:val="clear" w:color="auto" w:fill="auto"/>
        <w:bidi w:val="0"/>
        <w:jc w:val="both"/>
        <w:spacing w:before="0" w:after="0"/>
        <w:ind w:left="20" w:right="20" w:firstLine="660"/>
      </w:pPr>
      <w:r>
        <w:rPr>
          <w:lang w:val="ru-RU" w:eastAsia="ru-RU" w:bidi="ru-RU"/>
          <w:w w:val="100"/>
          <w:spacing w:val="0"/>
          <w:color w:val="000000"/>
          <w:position w:val="0"/>
        </w:rPr>
        <w:t>Пунктом 25 информационной карты заказчиком установлены критерии оценки заявок на участие в открытом конкурсе в электронной форме, величины значимости таких критериев, порядок расчёта рейтинга заявки на основании указанных критериев.</w:t>
      </w:r>
    </w:p>
    <w:p>
      <w:pPr>
        <w:pStyle w:val="Style22"/>
        <w:widowControl w:val="0"/>
        <w:keepNext w:val="0"/>
        <w:keepLines w:val="0"/>
        <w:shd w:val="clear" w:color="auto" w:fill="auto"/>
        <w:bidi w:val="0"/>
        <w:jc w:val="both"/>
        <w:spacing w:before="0" w:after="295"/>
        <w:ind w:left="20" w:right="20" w:firstLine="660"/>
      </w:pPr>
      <w:r>
        <w:rPr>
          <w:lang w:val="ru-RU" w:eastAsia="ru-RU" w:bidi="ru-RU"/>
          <w:w w:val="100"/>
          <w:spacing w:val="0"/>
          <w:color w:val="000000"/>
          <w:position w:val="0"/>
        </w:rPr>
        <w:t>С целью выявления победителя конкурса (лучших условий исполнения контракта) конкурсная комиссия осуществляет оценку заявок участников конкурса по следующим критериям:</w:t>
      </w:r>
    </w:p>
    <w:tbl>
      <w:tblPr>
        <w:tblOverlap w:val="never"/>
        <w:tblLayout w:type="fixed"/>
        <w:jc w:val="center"/>
      </w:tblPr>
      <w:tblGrid>
        <w:gridCol w:w="8078"/>
        <w:gridCol w:w="1994"/>
      </w:tblGrid>
      <w:tr>
        <w:trPr>
          <w:trHeight w:val="580" w:hRule="exact"/>
        </w:trPr>
        <w:tc>
          <w:tcPr>
            <w:shd w:val="clear" w:color="auto" w:fill="FFFFFF"/>
            <w:tcBorders>
              <w:left w:val="single" w:sz="4"/>
              <w:top w:val="single" w:sz="4"/>
            </w:tcBorders>
            <w:vAlign w:val="center"/>
          </w:tcPr>
          <w:p>
            <w:pPr>
              <w:pStyle w:val="Style22"/>
              <w:framePr w:w="10073"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9"/>
              </w:rPr>
              <w:t>Критерии</w:t>
            </w:r>
          </w:p>
        </w:tc>
        <w:tc>
          <w:tcPr>
            <w:shd w:val="clear" w:color="auto" w:fill="FFFFFF"/>
            <w:tcBorders>
              <w:left w:val="single" w:sz="4"/>
              <w:right w:val="single" w:sz="4"/>
              <w:top w:val="single" w:sz="4"/>
            </w:tcBorders>
            <w:vAlign w:val="bottom"/>
          </w:tcPr>
          <w:p>
            <w:pPr>
              <w:pStyle w:val="Style22"/>
              <w:framePr w:w="10073" w:wrap="notBeside" w:vAnchor="text" w:hAnchor="text" w:xAlign="center" w:y="1"/>
              <w:widowControl w:val="0"/>
              <w:keepNext w:val="0"/>
              <w:keepLines w:val="0"/>
              <w:shd w:val="clear" w:color="auto" w:fill="auto"/>
              <w:bidi w:val="0"/>
              <w:jc w:val="left"/>
              <w:spacing w:before="0" w:after="0" w:line="274" w:lineRule="exact"/>
              <w:ind w:left="400" w:right="0" w:firstLine="0"/>
            </w:pPr>
            <w:r>
              <w:rPr>
                <w:rStyle w:val="CharStyle29"/>
              </w:rPr>
              <w:t>Значимость критерия,%</w:t>
            </w:r>
          </w:p>
        </w:tc>
      </w:tr>
      <w:tr>
        <w:trPr>
          <w:trHeight w:val="295" w:hRule="exact"/>
        </w:trPr>
        <w:tc>
          <w:tcPr>
            <w:shd w:val="clear" w:color="auto" w:fill="FFFFFF"/>
            <w:tcBorders>
              <w:left w:val="single" w:sz="4"/>
              <w:top w:val="single" w:sz="4"/>
              <w:bottom w:val="single" w:sz="4"/>
            </w:tcBorders>
            <w:vAlign w:val="bottom"/>
          </w:tcPr>
          <w:p>
            <w:pPr>
              <w:pStyle w:val="Style22"/>
              <w:framePr w:w="10073" w:wrap="notBeside" w:vAnchor="text" w:hAnchor="text" w:xAlign="center" w:y="1"/>
              <w:widowControl w:val="0"/>
              <w:keepNext w:val="0"/>
              <w:keepLines w:val="0"/>
              <w:shd w:val="clear" w:color="auto" w:fill="auto"/>
              <w:bidi w:val="0"/>
              <w:jc w:val="left"/>
              <w:spacing w:before="0" w:after="0" w:line="220" w:lineRule="exact"/>
              <w:ind w:left="140" w:right="0" w:firstLine="0"/>
            </w:pPr>
            <w:r>
              <w:rPr>
                <w:rStyle w:val="CharStyle30"/>
              </w:rPr>
              <w:t>1. Нестоимостные критерии</w:t>
            </w:r>
          </w:p>
        </w:tc>
        <w:tc>
          <w:tcPr>
            <w:shd w:val="clear" w:color="auto" w:fill="FFFFFF"/>
            <w:tcBorders>
              <w:left w:val="single" w:sz="4"/>
              <w:right w:val="single" w:sz="4"/>
              <w:top w:val="single" w:sz="4"/>
              <w:bottom w:val="single" w:sz="4"/>
            </w:tcBorders>
            <w:vAlign w:val="top"/>
          </w:tcPr>
          <w:p>
            <w:pPr>
              <w:framePr w:w="10073"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8086"/>
        <w:gridCol w:w="1994"/>
      </w:tblGrid>
      <w:tr>
        <w:trPr>
          <w:trHeight w:val="1735" w:hRule="exact"/>
        </w:trPr>
        <w:tc>
          <w:tcPr>
            <w:shd w:val="clear" w:color="auto" w:fill="FFFFFF"/>
            <w:tcBorders>
              <w:left w:val="single" w:sz="4"/>
              <w:top w:val="single" w:sz="4"/>
            </w:tcBorders>
            <w:vAlign w:val="bottom"/>
          </w:tcPr>
          <w:p>
            <w:pPr>
              <w:pStyle w:val="Style22"/>
              <w:framePr w:w="10080" w:wrap="notBeside" w:vAnchor="text" w:hAnchor="text" w:xAlign="center" w:y="1"/>
              <w:widowControl w:val="0"/>
              <w:keepNext w:val="0"/>
              <w:keepLines w:val="0"/>
              <w:shd w:val="clear" w:color="auto" w:fill="auto"/>
              <w:bidi w:val="0"/>
              <w:jc w:val="both"/>
              <w:spacing w:before="0" w:after="0" w:line="281" w:lineRule="exact"/>
              <w:ind w:left="0" w:right="0" w:firstLine="0"/>
            </w:pPr>
            <w:r>
              <w:rPr>
                <w:rStyle w:val="CharStyle29"/>
              </w:rPr>
              <w:t>1.1.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tc>
        <w:tc>
          <w:tcPr>
            <w:shd w:val="clear" w:color="auto" w:fill="FFFFFF"/>
            <w:tcBorders>
              <w:left w:val="single" w:sz="4"/>
              <w:right w:val="single" w:sz="4"/>
              <w:top w:val="single" w:sz="4"/>
            </w:tcBorders>
            <w:vAlign w:val="center"/>
          </w:tcPr>
          <w:p>
            <w:pPr>
              <w:pStyle w:val="Style22"/>
              <w:framePr w:w="10080"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31"/>
              </w:rPr>
              <w:t>40</w:t>
            </w:r>
          </w:p>
        </w:tc>
      </w:tr>
      <w:tr>
        <w:trPr>
          <w:trHeight w:val="342" w:hRule="exact"/>
        </w:trPr>
        <w:tc>
          <w:tcPr>
            <w:shd w:val="clear" w:color="auto" w:fill="FFFFFF"/>
            <w:tcBorders>
              <w:left w:val="single" w:sz="4"/>
              <w:top w:val="single" w:sz="4"/>
            </w:tcBorders>
            <w:vAlign w:val="bottom"/>
          </w:tcPr>
          <w:p>
            <w:pPr>
              <w:pStyle w:val="Style22"/>
              <w:framePr w:w="10080" w:wrap="notBeside" w:vAnchor="text" w:hAnchor="text" w:xAlign="center" w:y="1"/>
              <w:widowControl w:val="0"/>
              <w:keepNext w:val="0"/>
              <w:keepLines w:val="0"/>
              <w:shd w:val="clear" w:color="auto" w:fill="auto"/>
              <w:bidi w:val="0"/>
              <w:jc w:val="both"/>
              <w:spacing w:before="0" w:after="0" w:line="220" w:lineRule="exact"/>
              <w:ind w:left="0" w:right="0" w:firstLine="0"/>
            </w:pPr>
            <w:r>
              <w:rPr>
                <w:rStyle w:val="CharStyle30"/>
              </w:rPr>
              <w:t>2. Стоимостные критерии</w:t>
            </w:r>
          </w:p>
        </w:tc>
        <w:tc>
          <w:tcPr>
            <w:shd w:val="clear" w:color="auto" w:fill="FFFFFF"/>
            <w:tcBorders>
              <w:left w:val="single" w:sz="4"/>
              <w:right w:val="single" w:sz="4"/>
              <w:top w:val="single" w:sz="4"/>
            </w:tcBorders>
            <w:vAlign w:val="top"/>
          </w:tcPr>
          <w:p>
            <w:pPr>
              <w:framePr w:w="10080" w:wrap="notBeside" w:vAnchor="text" w:hAnchor="text" w:xAlign="center" w:y="1"/>
              <w:widowControl w:val="0"/>
              <w:rPr>
                <w:sz w:val="10"/>
                <w:szCs w:val="10"/>
              </w:rPr>
            </w:pPr>
          </w:p>
        </w:tc>
      </w:tr>
      <w:tr>
        <w:trPr>
          <w:trHeight w:val="360" w:hRule="exact"/>
        </w:trPr>
        <w:tc>
          <w:tcPr>
            <w:shd w:val="clear" w:color="auto" w:fill="FFFFFF"/>
            <w:tcBorders>
              <w:left w:val="single" w:sz="4"/>
              <w:top w:val="single" w:sz="4"/>
            </w:tcBorders>
            <w:vAlign w:val="center"/>
          </w:tcPr>
          <w:p>
            <w:pPr>
              <w:pStyle w:val="Style22"/>
              <w:framePr w:w="10080" w:wrap="notBeside" w:vAnchor="text" w:hAnchor="text" w:xAlign="center" w:y="1"/>
              <w:widowControl w:val="0"/>
              <w:keepNext w:val="0"/>
              <w:keepLines w:val="0"/>
              <w:shd w:val="clear" w:color="auto" w:fill="auto"/>
              <w:bidi w:val="0"/>
              <w:jc w:val="both"/>
              <w:spacing w:before="0" w:after="0" w:line="220" w:lineRule="exact"/>
              <w:ind w:left="0" w:right="0" w:firstLine="0"/>
            </w:pPr>
            <w:r>
              <w:rPr>
                <w:rStyle w:val="CharStyle29"/>
              </w:rPr>
              <w:t>2.1. Цена контракта</w:t>
            </w:r>
          </w:p>
        </w:tc>
        <w:tc>
          <w:tcPr>
            <w:shd w:val="clear" w:color="auto" w:fill="FFFFFF"/>
            <w:tcBorders>
              <w:left w:val="single" w:sz="4"/>
              <w:right w:val="single" w:sz="4"/>
              <w:top w:val="single" w:sz="4"/>
            </w:tcBorders>
            <w:vAlign w:val="bottom"/>
          </w:tcPr>
          <w:p>
            <w:pPr>
              <w:pStyle w:val="Style22"/>
              <w:framePr w:w="10080"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31"/>
              </w:rPr>
              <w:t>60</w:t>
            </w:r>
          </w:p>
        </w:tc>
      </w:tr>
      <w:tr>
        <w:trPr>
          <w:trHeight w:val="302" w:hRule="exact"/>
        </w:trPr>
        <w:tc>
          <w:tcPr>
            <w:shd w:val="clear" w:color="auto" w:fill="FFFFFF"/>
            <w:tcBorders>
              <w:left w:val="single" w:sz="4"/>
              <w:top w:val="single" w:sz="4"/>
              <w:bottom w:val="single" w:sz="4"/>
            </w:tcBorders>
            <w:vAlign w:val="center"/>
          </w:tcPr>
          <w:p>
            <w:pPr>
              <w:pStyle w:val="Style22"/>
              <w:framePr w:w="10080" w:wrap="notBeside" w:vAnchor="text" w:hAnchor="text" w:xAlign="center" w:y="1"/>
              <w:widowControl w:val="0"/>
              <w:keepNext w:val="0"/>
              <w:keepLines w:val="0"/>
              <w:shd w:val="clear" w:color="auto" w:fill="auto"/>
              <w:bidi w:val="0"/>
              <w:jc w:val="both"/>
              <w:spacing w:before="0" w:after="0" w:line="220" w:lineRule="exact"/>
              <w:ind w:left="0" w:right="0" w:firstLine="0"/>
            </w:pPr>
            <w:r>
              <w:rPr>
                <w:rStyle w:val="CharStyle30"/>
              </w:rPr>
              <w:t>Всего:</w:t>
            </w:r>
          </w:p>
        </w:tc>
        <w:tc>
          <w:tcPr>
            <w:shd w:val="clear" w:color="auto" w:fill="FFFFFF"/>
            <w:tcBorders>
              <w:left w:val="single" w:sz="4"/>
              <w:right w:val="single" w:sz="4"/>
              <w:top w:val="single" w:sz="4"/>
              <w:bottom w:val="single" w:sz="4"/>
            </w:tcBorders>
            <w:vAlign w:val="bottom"/>
          </w:tcPr>
          <w:p>
            <w:pPr>
              <w:pStyle w:val="Style22"/>
              <w:framePr w:w="10080"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31"/>
              </w:rPr>
              <w:t>100</w:t>
            </w:r>
          </w:p>
        </w:tc>
      </w:tr>
    </w:tbl>
    <w:p>
      <w:pPr>
        <w:widowControl w:val="0"/>
        <w:rPr>
          <w:sz w:val="2"/>
          <w:szCs w:val="2"/>
        </w:rPr>
      </w:pPr>
    </w:p>
    <w:p>
      <w:pPr>
        <w:pStyle w:val="Style22"/>
        <w:widowControl w:val="0"/>
        <w:keepNext w:val="0"/>
        <w:keepLines w:val="0"/>
        <w:shd w:val="clear" w:color="auto" w:fill="auto"/>
        <w:bidi w:val="0"/>
        <w:jc w:val="both"/>
        <w:spacing w:before="235" w:after="0" w:line="320" w:lineRule="exact"/>
        <w:ind w:left="20" w:right="40" w:firstLine="680"/>
      </w:pPr>
      <w:r>
        <w:rPr>
          <w:lang w:val="ru-RU" w:eastAsia="ru-RU" w:bidi="ru-RU"/>
          <w:w w:val="100"/>
          <w:spacing w:val="0"/>
          <w:color w:val="000000"/>
          <w:position w:val="0"/>
        </w:rPr>
        <w:t>В отношении нестоимостного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устанавливается следующий показатель:</w:t>
      </w:r>
    </w:p>
    <w:p>
      <w:pPr>
        <w:pStyle w:val="Style22"/>
        <w:widowControl w:val="0"/>
        <w:keepNext w:val="0"/>
        <w:keepLines w:val="0"/>
        <w:shd w:val="clear" w:color="auto" w:fill="auto"/>
        <w:bidi w:val="0"/>
        <w:jc w:val="both"/>
        <w:spacing w:before="0" w:after="0" w:line="320" w:lineRule="exact"/>
        <w:ind w:left="20" w:right="40" w:firstLine="680"/>
      </w:pPr>
      <w:r>
        <w:rPr>
          <w:lang w:val="ru-RU" w:eastAsia="ru-RU" w:bidi="ru-RU"/>
          <w:w w:val="100"/>
          <w:spacing w:val="0"/>
          <w:color w:val="000000"/>
          <w:position w:val="0"/>
        </w:rPr>
        <w:t>Опыт участника по успешной поставке товара, выполнению работ, оказанию услуг сопоставимого характера и объема (величина значимости показателя 100%, коэффициент значимости показателя - 1).</w:t>
      </w:r>
    </w:p>
    <w:p>
      <w:pPr>
        <w:pStyle w:val="Style22"/>
        <w:widowControl w:val="0"/>
        <w:keepNext w:val="0"/>
        <w:keepLines w:val="0"/>
        <w:shd w:val="clear" w:color="auto" w:fill="auto"/>
        <w:bidi w:val="0"/>
        <w:jc w:val="both"/>
        <w:spacing w:before="0" w:after="0" w:line="320" w:lineRule="exact"/>
        <w:ind w:left="20" w:right="40" w:firstLine="680"/>
      </w:pPr>
      <w:r>
        <w:rPr>
          <w:lang w:val="ru-RU" w:eastAsia="ru-RU" w:bidi="ru-RU"/>
          <w:w w:val="100"/>
          <w:spacing w:val="0"/>
          <w:color w:val="000000"/>
          <w:position w:val="0"/>
        </w:rPr>
        <w:t xml:space="preserve">В рамках показателя «Опыт участника по успешной поставке товара, выполнению работ, оказанию услуг сопоставимого характера и объема» оценивается общее количество исполненных контрактов (договоров), предусматривающих выполнение работ (оказание услуг) </w:t>
      </w:r>
      <w:r>
        <w:rPr>
          <w:rStyle w:val="CharStyle32"/>
        </w:rPr>
        <w:t>по установке противоослепляющюс экранов на автомобильных дорогах общего пользования.</w:t>
      </w:r>
    </w:p>
    <w:p>
      <w:pPr>
        <w:pStyle w:val="Style22"/>
        <w:tabs>
          <w:tab w:leader="none" w:pos="8379" w:val="left"/>
        </w:tabs>
        <w:widowControl w:val="0"/>
        <w:keepNext w:val="0"/>
        <w:keepLines w:val="0"/>
        <w:shd w:val="clear" w:color="auto" w:fill="auto"/>
        <w:bidi w:val="0"/>
        <w:jc w:val="both"/>
        <w:spacing w:before="0" w:after="0" w:line="320" w:lineRule="exact"/>
        <w:ind w:left="20" w:right="40" w:firstLine="680"/>
      </w:pPr>
      <w:r>
        <w:rPr>
          <w:rStyle w:val="CharStyle24"/>
        </w:rPr>
        <w:t>Подтверждение стоимости выполненных работ (оказанных услуг), связанных с</w:t>
      </w:r>
      <w:r>
        <w:rPr>
          <w:lang w:val="ru-RU" w:eastAsia="ru-RU" w:bidi="ru-RU"/>
          <w:w w:val="100"/>
          <w:spacing w:val="0"/>
          <w:color w:val="000000"/>
          <w:position w:val="0"/>
        </w:rPr>
        <w:t xml:space="preserve"> </w:t>
      </w:r>
      <w:r>
        <w:rPr>
          <w:rStyle w:val="CharStyle24"/>
        </w:rPr>
        <w:t xml:space="preserve">предметом контракта, </w:t>
      </w:r>
      <w:r>
        <w:rPr>
          <w:rStyle w:val="CharStyle33"/>
        </w:rPr>
        <w:t xml:space="preserve">должно составлять </w:t>
      </w:r>
      <w:r>
        <w:rPr>
          <w:rStyle w:val="CharStyle34"/>
        </w:rPr>
        <w:t>не менее 50</w:t>
        <w:tab/>
        <w:t>% начальной</w:t>
      </w:r>
    </w:p>
    <w:p>
      <w:pPr>
        <w:pStyle w:val="Style22"/>
        <w:widowControl w:val="0"/>
        <w:keepNext w:val="0"/>
        <w:keepLines w:val="0"/>
        <w:shd w:val="clear" w:color="auto" w:fill="auto"/>
        <w:bidi w:val="0"/>
        <w:jc w:val="both"/>
        <w:spacing w:before="0" w:after="0" w:line="320" w:lineRule="exact"/>
        <w:ind w:left="20" w:right="40" w:firstLine="0"/>
      </w:pPr>
      <w:r>
        <w:rPr>
          <w:rStyle w:val="CharStyle34"/>
        </w:rPr>
        <w:t>(максимальной) цены контракта</w:t>
      </w:r>
      <w:r>
        <w:rPr>
          <w:rStyle w:val="CharStyle24"/>
        </w:rPr>
        <w:t>, на право заключить который проводится</w:t>
      </w:r>
      <w:r>
        <w:rPr>
          <w:lang w:val="ru-RU" w:eastAsia="ru-RU" w:bidi="ru-RU"/>
          <w:w w:val="100"/>
          <w:spacing w:val="0"/>
          <w:color w:val="000000"/>
          <w:position w:val="0"/>
        </w:rPr>
        <w:t xml:space="preserve"> </w:t>
      </w:r>
      <w:r>
        <w:rPr>
          <w:rStyle w:val="CharStyle24"/>
        </w:rPr>
        <w:t>настоящий конкурс.</w:t>
      </w:r>
    </w:p>
    <w:p>
      <w:pPr>
        <w:pStyle w:val="Style22"/>
        <w:widowControl w:val="0"/>
        <w:keepNext w:val="0"/>
        <w:keepLines w:val="0"/>
        <w:shd w:val="clear" w:color="auto" w:fill="auto"/>
        <w:bidi w:val="0"/>
        <w:jc w:val="both"/>
        <w:spacing w:before="0" w:after="0" w:line="320" w:lineRule="exact"/>
        <w:ind w:left="20" w:right="40" w:firstLine="680"/>
      </w:pPr>
      <w:r>
        <w:rPr>
          <w:lang w:val="ru-RU" w:eastAsia="ru-RU" w:bidi="ru-RU"/>
          <w:w w:val="100"/>
          <w:spacing w:val="0"/>
          <w:color w:val="000000"/>
          <w:position w:val="0"/>
        </w:rPr>
        <w:t>Сведения об опыте выполнения работ (оказания услуг) предоставляются в любой удобной форме или в соответствии с рекомендованной формой (Приложение № 5 к Конкурсной документации) и подтверждаются представлением копий документов. Копии подтверждающих документов должны быть представлены в полном объеме (копии контрактов (договоров) со всеми приложениями, являющимися их неотъемлемой частью, копии актов о приемке выполненных работ (оказанных услуг)).</w:t>
      </w:r>
    </w:p>
    <w:p>
      <w:pPr>
        <w:pStyle w:val="Style22"/>
        <w:widowControl w:val="0"/>
        <w:keepNext w:val="0"/>
        <w:keepLines w:val="0"/>
        <w:shd w:val="clear" w:color="auto" w:fill="auto"/>
        <w:bidi w:val="0"/>
        <w:jc w:val="both"/>
        <w:spacing w:before="0" w:after="0" w:line="320" w:lineRule="exact"/>
        <w:ind w:left="20" w:right="40" w:firstLine="680"/>
      </w:pPr>
      <w:r>
        <w:rPr>
          <w:lang w:val="ru-RU" w:eastAsia="ru-RU" w:bidi="ru-RU"/>
          <w:w w:val="100"/>
          <w:spacing w:val="0"/>
          <w:color w:val="000000"/>
          <w:position w:val="0"/>
        </w:rPr>
        <w:t xml:space="preserve">Подтверждением выполнения работ (оказания услуг) являются копии государственных и(или) муниципальных контрактов, и(или) иных гражданско- правовых договоров (далее - Контракт (договор)), заключенных за период </w:t>
      </w:r>
      <w:r>
        <w:rPr>
          <w:rStyle w:val="CharStyle32"/>
        </w:rPr>
        <w:t>с 2018 г. по 2021 г.,</w:t>
      </w:r>
      <w:r>
        <w:rPr>
          <w:rStyle w:val="CharStyle35"/>
        </w:rPr>
        <w:t xml:space="preserve"> </w:t>
      </w:r>
      <w:r>
        <w:rPr>
          <w:lang w:val="ru-RU" w:eastAsia="ru-RU" w:bidi="ru-RU"/>
          <w:w w:val="100"/>
          <w:spacing w:val="0"/>
          <w:color w:val="000000"/>
          <w:position w:val="0"/>
        </w:rPr>
        <w:t>со всеми приложениями и дополнениями к ним и копии Актов о приемке выполненных работ (оказанных услуг) по данным Контрактам (договорам), подтверждающих у участника наличие опыта, соответствующего предмету закупки (далее - Документы).</w:t>
      </w:r>
    </w:p>
    <w:p>
      <w:pPr>
        <w:pStyle w:val="Style22"/>
        <w:widowControl w:val="0"/>
        <w:keepNext w:val="0"/>
        <w:keepLines w:val="0"/>
        <w:shd w:val="clear" w:color="auto" w:fill="auto"/>
        <w:bidi w:val="0"/>
        <w:jc w:val="both"/>
        <w:spacing w:before="0" w:after="0" w:line="320" w:lineRule="exact"/>
        <w:ind w:left="20" w:right="40" w:firstLine="680"/>
      </w:pPr>
      <w:r>
        <w:rPr>
          <w:lang w:val="ru-RU" w:eastAsia="ru-RU" w:bidi="ru-RU"/>
          <w:w w:val="100"/>
          <w:spacing w:val="0"/>
          <w:color w:val="000000"/>
          <w:position w:val="0"/>
        </w:rPr>
        <w:t>Подтверждением наличия опыта выполнения работ (оказания услуг) будет считаться предоставление комплекта документов вместе (копия Контракта (договора) и копии Актов о приемке выполненных работ (оказанных услуг) по данному Контракту (договору)).</w:t>
      </w:r>
    </w:p>
    <w:p>
      <w:pPr>
        <w:pStyle w:val="Style22"/>
        <w:widowControl w:val="0"/>
        <w:keepNext w:val="0"/>
        <w:keepLines w:val="0"/>
        <w:shd w:val="clear" w:color="auto" w:fill="auto"/>
        <w:bidi w:val="0"/>
        <w:jc w:val="both"/>
        <w:spacing w:before="0" w:after="0"/>
        <w:ind w:left="20" w:right="20" w:firstLine="660"/>
      </w:pPr>
      <w:r>
        <w:rPr>
          <w:lang w:val="ru-RU" w:eastAsia="ru-RU" w:bidi="ru-RU"/>
          <w:w w:val="100"/>
          <w:spacing w:val="0"/>
          <w:color w:val="000000"/>
          <w:position w:val="0"/>
        </w:rPr>
        <w:t>Для целей оценки выполненных объемов работ (оказанных услуг) будут учитываться исполненные Контракты (договоры), а также Контракты (договоры), связанные с предметом закупки, с фактической стоимостью выполненных работ (оказанных услуг) не менее 50% начальной (максимальной) цены контракта и представленные в составе Документов.</w:t>
      </w:r>
    </w:p>
    <w:p>
      <w:pPr>
        <w:pStyle w:val="Style22"/>
        <w:widowControl w:val="0"/>
        <w:keepNext w:val="0"/>
        <w:keepLines w:val="0"/>
        <w:shd w:val="clear" w:color="auto" w:fill="auto"/>
        <w:bidi w:val="0"/>
        <w:jc w:val="both"/>
        <w:spacing w:before="0" w:after="0"/>
        <w:ind w:left="20" w:right="20" w:firstLine="660"/>
      </w:pPr>
      <w:r>
        <w:rPr>
          <w:lang w:val="ru-RU" w:eastAsia="ru-RU" w:bidi="ru-RU"/>
          <w:w w:val="100"/>
          <w:spacing w:val="0"/>
          <w:color w:val="000000"/>
          <w:position w:val="0"/>
        </w:rPr>
        <w:t>В случае, если Контракт (договор) исполнен полностью, то стоимость выполненных работ (оказанных услуг), соответствующих предмету закупки, должна быть не менее 50% от начальной (максимальной) цены контракта настоящего конкурса.</w:t>
      </w:r>
    </w:p>
    <w:p>
      <w:pPr>
        <w:pStyle w:val="Style22"/>
        <w:widowControl w:val="0"/>
        <w:keepNext w:val="0"/>
        <w:keepLines w:val="0"/>
        <w:shd w:val="clear" w:color="auto" w:fill="auto"/>
        <w:bidi w:val="0"/>
        <w:jc w:val="both"/>
        <w:spacing w:before="0" w:after="0"/>
        <w:ind w:left="20" w:right="20" w:firstLine="660"/>
      </w:pPr>
      <w:r>
        <w:rPr>
          <w:lang w:val="ru-RU" w:eastAsia="ru-RU" w:bidi="ru-RU"/>
          <w:w w:val="100"/>
          <w:spacing w:val="0"/>
          <w:color w:val="000000"/>
          <w:position w:val="0"/>
        </w:rPr>
        <w:t>В случае, если Контракт (договор) исполнен частично, то сумма выполненных работ (оказанных услуг), соответствующих предмету закупки, должна быть не менее 50% от начальной (максимальной) цены контракта настоящего конкурса.</w:t>
      </w:r>
    </w:p>
    <w:p>
      <w:pPr>
        <w:pStyle w:val="Style22"/>
        <w:widowControl w:val="0"/>
        <w:keepNext w:val="0"/>
        <w:keepLines w:val="0"/>
        <w:shd w:val="clear" w:color="auto" w:fill="auto"/>
        <w:bidi w:val="0"/>
        <w:jc w:val="both"/>
        <w:spacing w:before="0" w:after="0"/>
        <w:ind w:left="20" w:right="20" w:firstLine="660"/>
      </w:pPr>
      <w:r>
        <w:rPr>
          <w:lang w:val="ru-RU" w:eastAsia="ru-RU" w:bidi="ru-RU"/>
          <w:w w:val="100"/>
          <w:spacing w:val="0"/>
          <w:color w:val="000000"/>
          <w:position w:val="0"/>
        </w:rPr>
        <w:t>Оценка в 0 баллов будет присвоена участнику конкурса, который не имеет соответствующего опыта выполнения работ (оказания услуг), а также участнику, который не представит подтверждающие документы.</w:t>
      </w:r>
    </w:p>
    <w:p>
      <w:pPr>
        <w:pStyle w:val="Style22"/>
        <w:widowControl w:val="0"/>
        <w:keepNext w:val="0"/>
        <w:keepLines w:val="0"/>
        <w:shd w:val="clear" w:color="auto" w:fill="auto"/>
        <w:bidi w:val="0"/>
        <w:jc w:val="both"/>
        <w:spacing w:before="0" w:after="0"/>
        <w:ind w:left="20" w:right="20" w:firstLine="660"/>
      </w:pPr>
      <w:r>
        <w:rPr>
          <w:lang w:val="ru-RU" w:eastAsia="ru-RU" w:bidi="ru-RU"/>
          <w:w w:val="100"/>
          <w:spacing w:val="0"/>
          <w:color w:val="000000"/>
          <w:position w:val="0"/>
        </w:rPr>
        <w:t>При определении лучшего предложения по данному показателю лучшим будет считаться предложение, содержащее информацию об исполненных Контрактах (договорах), удовлетворяющих требованиям конкурсной документации, подтвержденную требуемыми Документами и при этом количество всех этих Контрактов (договоров) будет являться максимальным (К</w:t>
      </w:r>
      <w:r>
        <w:rPr>
          <w:lang w:val="ru-RU" w:eastAsia="ru-RU" w:bidi="ru-RU"/>
          <w:vertAlign w:val="subscript"/>
          <w:w w:val="100"/>
          <w:spacing w:val="0"/>
          <w:color w:val="000000"/>
          <w:position w:val="0"/>
        </w:rPr>
        <w:t>тах</w:t>
      </w:r>
      <w:r>
        <w:rPr>
          <w:lang w:val="ru-RU" w:eastAsia="ru-RU" w:bidi="ru-RU"/>
          <w:w w:val="100"/>
          <w:spacing w:val="0"/>
          <w:color w:val="000000"/>
          <w:position w:val="0"/>
        </w:rPr>
        <w:t>). Участнику конкурса, сделавшему лучшее предложение, присваивается максимальное количество баллов по показателю - 100 баллов.</w:t>
      </w:r>
    </w:p>
    <w:p>
      <w:pPr>
        <w:pStyle w:val="Style22"/>
        <w:widowControl w:val="0"/>
        <w:keepNext w:val="0"/>
        <w:keepLines w:val="0"/>
        <w:shd w:val="clear" w:color="auto" w:fill="auto"/>
        <w:bidi w:val="0"/>
        <w:jc w:val="both"/>
        <w:spacing w:before="0" w:after="0"/>
        <w:ind w:left="20" w:right="20" w:firstLine="660"/>
      </w:pPr>
      <w:r>
        <w:rPr>
          <w:lang w:val="ru-RU" w:eastAsia="ru-RU" w:bidi="ru-RU"/>
          <w:w w:val="100"/>
          <w:spacing w:val="0"/>
          <w:color w:val="000000"/>
          <w:position w:val="0"/>
        </w:rPr>
        <w:t>Количество баллов, присуждаемых по данному показателю (НЦБ{), определяется по формуле:</w:t>
      </w:r>
    </w:p>
    <w:p>
      <w:pPr>
        <w:pStyle w:val="Style36"/>
        <w:widowControl w:val="0"/>
        <w:keepNext w:val="0"/>
        <w:keepLines w:val="0"/>
        <w:shd w:val="clear" w:color="auto" w:fill="auto"/>
        <w:bidi w:val="0"/>
        <w:spacing w:before="0" w:after="0"/>
        <w:ind w:left="20" w:right="0"/>
      </w:pPr>
      <w:r>
        <w:rPr>
          <w:lang w:val="ru-RU" w:eastAsia="ru-RU" w:bidi="ru-RU"/>
          <w:sz w:val="24"/>
          <w:szCs w:val="24"/>
          <w:w w:val="100"/>
          <w:spacing w:val="0"/>
          <w:color w:val="000000"/>
          <w:position w:val="0"/>
        </w:rPr>
        <w:t xml:space="preserve">НЦБг= кз* </w:t>
      </w:r>
      <w:r>
        <w:rPr>
          <w:lang w:val="en-US" w:eastAsia="en-US" w:bidi="en-US"/>
          <w:sz w:val="24"/>
          <w:szCs w:val="24"/>
          <w:w w:val="100"/>
          <w:spacing w:val="0"/>
          <w:color w:val="000000"/>
          <w:position w:val="0"/>
        </w:rPr>
        <w:t xml:space="preserve">100*(Kj </w:t>
      </w:r>
      <w:r>
        <w:rPr>
          <w:lang w:val="ru-RU" w:eastAsia="ru-RU" w:bidi="ru-RU"/>
          <w:sz w:val="24"/>
          <w:szCs w:val="24"/>
          <w:w w:val="100"/>
          <w:spacing w:val="0"/>
          <w:color w:val="000000"/>
          <w:position w:val="0"/>
        </w:rPr>
        <w:t>/к</w:t>
      </w:r>
      <w:r>
        <w:rPr>
          <w:lang w:val="ru-RU" w:eastAsia="ru-RU" w:bidi="ru-RU"/>
          <w:vertAlign w:val="subscript"/>
          <w:sz w:val="24"/>
          <w:szCs w:val="24"/>
          <w:w w:val="100"/>
          <w:spacing w:val="0"/>
          <w:color w:val="000000"/>
          <w:position w:val="0"/>
        </w:rPr>
        <w:t>тах</w:t>
      </w:r>
      <w:r>
        <w:rPr>
          <w:lang w:val="ru-RU" w:eastAsia="ru-RU" w:bidi="ru-RU"/>
          <w:sz w:val="24"/>
          <w:szCs w:val="24"/>
          <w:w w:val="100"/>
          <w:spacing w:val="0"/>
          <w:color w:val="000000"/>
          <w:position w:val="0"/>
        </w:rPr>
        <w:t>),</w:t>
      </w:r>
    </w:p>
    <w:p>
      <w:pPr>
        <w:pStyle w:val="Style22"/>
        <w:widowControl w:val="0"/>
        <w:keepNext w:val="0"/>
        <w:keepLines w:val="0"/>
        <w:shd w:val="clear" w:color="auto" w:fill="auto"/>
        <w:bidi w:val="0"/>
        <w:jc w:val="both"/>
        <w:spacing w:before="0" w:after="0"/>
        <w:ind w:left="20" w:right="0" w:firstLine="660"/>
      </w:pPr>
      <w:r>
        <w:rPr>
          <w:lang w:val="ru-RU" w:eastAsia="ru-RU" w:bidi="ru-RU"/>
          <w:w w:val="100"/>
          <w:spacing w:val="0"/>
          <w:color w:val="000000"/>
          <w:position w:val="0"/>
        </w:rPr>
        <w:t>где:</w:t>
      </w:r>
    </w:p>
    <w:p>
      <w:pPr>
        <w:pStyle w:val="Style22"/>
        <w:widowControl w:val="0"/>
        <w:keepNext w:val="0"/>
        <w:keepLines w:val="0"/>
        <w:shd w:val="clear" w:color="auto" w:fill="auto"/>
        <w:bidi w:val="0"/>
        <w:jc w:val="both"/>
        <w:spacing w:before="0" w:after="0"/>
        <w:ind w:left="20" w:right="0" w:firstLine="660"/>
      </w:pPr>
      <w:r>
        <w:rPr>
          <w:lang w:val="ru-RU" w:eastAsia="ru-RU" w:bidi="ru-RU"/>
          <w:w w:val="100"/>
          <w:spacing w:val="0"/>
          <w:color w:val="000000"/>
          <w:position w:val="0"/>
        </w:rPr>
        <w:t>КЗ - коэффициент значимости показателя (КЗ=Т).</w:t>
      </w:r>
    </w:p>
    <w:p>
      <w:pPr>
        <w:pStyle w:val="Style22"/>
        <w:widowControl w:val="0"/>
        <w:keepNext w:val="0"/>
        <w:keepLines w:val="0"/>
        <w:shd w:val="clear" w:color="auto" w:fill="auto"/>
        <w:bidi w:val="0"/>
        <w:jc w:val="both"/>
        <w:spacing w:before="0" w:after="0"/>
        <w:ind w:left="20" w:right="0" w:firstLine="660"/>
      </w:pPr>
      <w:r>
        <w:rPr>
          <w:lang w:val="ru-RU" w:eastAsia="ru-RU" w:bidi="ru-RU"/>
          <w:w w:val="100"/>
          <w:spacing w:val="0"/>
          <w:color w:val="000000"/>
          <w:position w:val="0"/>
        </w:rPr>
        <w:t>К;- предложение участника закупки, заявка (предложение) которого</w:t>
      </w:r>
    </w:p>
    <w:p>
      <w:pPr>
        <w:pStyle w:val="Style22"/>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оценивается;</w:t>
      </w:r>
    </w:p>
    <w:p>
      <w:pPr>
        <w:pStyle w:val="Style22"/>
        <w:widowControl w:val="0"/>
        <w:keepNext w:val="0"/>
        <w:keepLines w:val="0"/>
        <w:shd w:val="clear" w:color="auto" w:fill="auto"/>
        <w:bidi w:val="0"/>
        <w:jc w:val="both"/>
        <w:spacing w:before="0" w:after="0"/>
        <w:ind w:left="20" w:right="20" w:firstLine="660"/>
      </w:pPr>
      <w:r>
        <w:rPr>
          <w:lang w:val="ru-RU" w:eastAsia="ru-RU" w:bidi="ru-RU"/>
          <w:w w:val="100"/>
          <w:spacing w:val="0"/>
          <w:color w:val="000000"/>
          <w:position w:val="0"/>
        </w:rPr>
        <w:t>Ктах- максимальное предложение из предложений по показателю, сделанных участниками закупки.</w:t>
      </w:r>
    </w:p>
    <w:p>
      <w:pPr>
        <w:pStyle w:val="Style22"/>
        <w:widowControl w:val="0"/>
        <w:keepNext w:val="0"/>
        <w:keepLines w:val="0"/>
        <w:shd w:val="clear" w:color="auto" w:fill="auto"/>
        <w:bidi w:val="0"/>
        <w:jc w:val="both"/>
        <w:spacing w:before="0" w:after="0"/>
        <w:ind w:left="20" w:right="20" w:firstLine="660"/>
      </w:pPr>
      <w:r>
        <w:rPr>
          <w:lang w:val="ru-RU" w:eastAsia="ru-RU" w:bidi="ru-RU"/>
          <w:w w:val="100"/>
          <w:spacing w:val="0"/>
          <w:color w:val="000000"/>
          <w:position w:val="0"/>
        </w:rPr>
        <w:t>Рейтинг заявки (предложения) по нестоимостному критерию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определяется путем умножения баллов, присвоенных по показателю «Опыт участника по успешной поставке товара, выполнению работ, оказанию услуг сопоставимого характера и объема», на соответствующий указанному критерию оценки коэффициент значимости.</w:t>
      </w:r>
    </w:p>
    <w:p>
      <w:pPr>
        <w:pStyle w:val="Style22"/>
        <w:widowControl w:val="0"/>
        <w:keepNext w:val="0"/>
        <w:keepLines w:val="0"/>
        <w:shd w:val="clear" w:color="auto" w:fill="auto"/>
        <w:bidi w:val="0"/>
        <w:jc w:val="both"/>
        <w:spacing w:before="0" w:after="0"/>
        <w:ind w:left="20" w:right="20" w:firstLine="660"/>
      </w:pPr>
      <w:r>
        <w:rPr>
          <w:lang w:val="ru-RU" w:eastAsia="ru-RU" w:bidi="ru-RU"/>
          <w:w w:val="100"/>
          <w:spacing w:val="0"/>
          <w:color w:val="000000"/>
          <w:position w:val="0"/>
        </w:rPr>
        <w:t>Комиссия Татарстанского У ФАС России приходит к выводу, что действующее законодательство о контрактной системе не ограничивает заказчика в выборе и установлении показателей, позволяющих подтвердить квалификацию участников закупки. При этом, отсутствие в заявке на участие в определении поставщика (подрядчика, исполнителя) сведений и документов, подтверждающих квалификацию участника закупки, не может являться основанием для отстранения такого участника закупки от участия в определении поставщика (подрядчика, исполнителя).</w:t>
      </w:r>
    </w:p>
    <w:p>
      <w:pPr>
        <w:pStyle w:val="Style22"/>
        <w:widowControl w:val="0"/>
        <w:keepNext w:val="0"/>
        <w:keepLines w:val="0"/>
        <w:shd w:val="clear" w:color="auto" w:fill="auto"/>
        <w:bidi w:val="0"/>
        <w:jc w:val="both"/>
        <w:spacing w:before="0" w:after="0"/>
        <w:ind w:left="20" w:right="20" w:firstLine="680"/>
      </w:pPr>
      <w:r>
        <w:rPr>
          <w:lang w:val="ru-RU" w:eastAsia="ru-RU" w:bidi="ru-RU"/>
          <w:w w:val="100"/>
          <w:spacing w:val="0"/>
          <w:color w:val="000000"/>
          <w:position w:val="0"/>
        </w:rPr>
        <w:t>Установление критериев оценки заявок на участие может повлиять исключительно на оценку заявки участника в случае установления соответствующего показателя.</w:t>
      </w:r>
    </w:p>
    <w:p>
      <w:pPr>
        <w:pStyle w:val="Style22"/>
        <w:widowControl w:val="0"/>
        <w:keepNext w:val="0"/>
        <w:keepLines w:val="0"/>
        <w:shd w:val="clear" w:color="auto" w:fill="auto"/>
        <w:bidi w:val="0"/>
        <w:jc w:val="both"/>
        <w:spacing w:before="0" w:after="0"/>
        <w:ind w:left="20" w:right="20" w:firstLine="680"/>
      </w:pPr>
      <w:r>
        <w:rPr>
          <w:lang w:val="ru-RU" w:eastAsia="ru-RU" w:bidi="ru-RU"/>
          <w:w w:val="100"/>
          <w:spacing w:val="0"/>
          <w:color w:val="000000"/>
          <w:position w:val="0"/>
        </w:rPr>
        <w:t>Учитывая изложенное, в целях выявления лучших из предложенных условий исполнения контракта при оценке заявок заказчик может установить такие показатели нестоимостного критерия оценки квалификации участников закупки, позволяющие полно и всесторонне осуществить оценку соответствия уровня квалификации участника и минимизировать, тем самым, количество недобросовестных участников при определении поставщика.</w:t>
      </w:r>
    </w:p>
    <w:p>
      <w:pPr>
        <w:pStyle w:val="Style22"/>
        <w:widowControl w:val="0"/>
        <w:keepNext w:val="0"/>
        <w:keepLines w:val="0"/>
        <w:shd w:val="clear" w:color="auto" w:fill="auto"/>
        <w:bidi w:val="0"/>
        <w:jc w:val="both"/>
        <w:spacing w:before="0" w:after="0"/>
        <w:ind w:left="20" w:right="20" w:firstLine="680"/>
      </w:pPr>
      <w:r>
        <w:rPr>
          <w:lang w:val="ru-RU" w:eastAsia="ru-RU" w:bidi="ru-RU"/>
          <w:w w:val="100"/>
          <w:spacing w:val="0"/>
          <w:color w:val="000000"/>
          <w:position w:val="0"/>
        </w:rPr>
        <w:t xml:space="preserve">Заказчиком в рассматриваемом случае принимаются в качестве подтверждения опыта выполнения работ исполненные контракты (договора), предусматривающие выполнение работ (оказание услуг) по установке противоослепляющих экранов на автомобильных дорогах общего пользования, так как </w:t>
      </w:r>
      <w:r>
        <w:rPr>
          <w:rStyle w:val="CharStyle24"/>
        </w:rPr>
        <w:t>предметом закупки является</w:t>
      </w:r>
      <w:r>
        <w:rPr>
          <w:lang w:val="ru-RU" w:eastAsia="ru-RU" w:bidi="ru-RU"/>
          <w:w w:val="100"/>
          <w:spacing w:val="0"/>
          <w:color w:val="000000"/>
          <w:position w:val="0"/>
        </w:rPr>
        <w:t xml:space="preserve"> </w:t>
      </w:r>
      <w:r>
        <w:rPr>
          <w:rStyle w:val="CharStyle24"/>
        </w:rPr>
        <w:t>установка противоослепляющих экранов на автомобильных дорогах</w:t>
      </w:r>
      <w:r>
        <w:rPr>
          <w:lang w:val="ru-RU" w:eastAsia="ru-RU" w:bidi="ru-RU"/>
          <w:w w:val="100"/>
          <w:spacing w:val="0"/>
          <w:color w:val="000000"/>
          <w:position w:val="0"/>
        </w:rPr>
        <w:t>, т.е. является сопоставимым.</w:t>
      </w:r>
    </w:p>
    <w:p>
      <w:pPr>
        <w:pStyle w:val="Style22"/>
        <w:widowControl w:val="0"/>
        <w:keepNext w:val="0"/>
        <w:keepLines w:val="0"/>
        <w:shd w:val="clear" w:color="auto" w:fill="auto"/>
        <w:bidi w:val="0"/>
        <w:jc w:val="both"/>
        <w:spacing w:before="0" w:after="0"/>
        <w:ind w:left="20" w:right="20" w:firstLine="680"/>
      </w:pPr>
      <w:r>
        <w:rPr>
          <w:lang w:val="ru-RU" w:eastAsia="ru-RU" w:bidi="ru-RU"/>
          <w:w w:val="100"/>
          <w:spacing w:val="0"/>
          <w:color w:val="000000"/>
          <w:position w:val="0"/>
        </w:rPr>
        <w:t xml:space="preserve">Условие о том, что стоимость выполненных работ (оказанных услуг), связанных с предметом контракта, должна составлять не менее 50% начальной (максимальной) цены контракта, на право заключить который проводится конкурс не противоречит требованиям действующего законодательства и установлено заказчиком по аналогии с Постановлением Правительства РФ от 04.02.2015 </w:t>
      </w:r>
      <w:r>
        <w:rPr>
          <w:lang w:val="en-US" w:eastAsia="en-US" w:bidi="en-US"/>
          <w:w w:val="100"/>
          <w:spacing w:val="0"/>
          <w:color w:val="000000"/>
          <w:position w:val="0"/>
        </w:rPr>
        <w:t xml:space="preserve">N </w:t>
      </w:r>
      <w:r>
        <w:rPr>
          <w:lang w:val="ru-RU" w:eastAsia="ru-RU" w:bidi="ru-RU"/>
          <w:w w:val="100"/>
          <w:spacing w:val="0"/>
          <w:color w:val="000000"/>
          <w:position w:val="0"/>
        </w:rPr>
        <w:t>99 (ред. от 24.05.2021)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(в случае если НМЦК превышает 10 млн. рублей стоимость такого одного исполненного контракта (договора) должна составлять не менее 50 процентов от НМЦК).</w:t>
      </w:r>
    </w:p>
    <w:p>
      <w:pPr>
        <w:pStyle w:val="Style22"/>
        <w:widowControl w:val="0"/>
        <w:keepNext w:val="0"/>
        <w:keepLines w:val="0"/>
        <w:shd w:val="clear" w:color="auto" w:fill="auto"/>
        <w:bidi w:val="0"/>
        <w:jc w:val="both"/>
        <w:spacing w:before="0" w:after="0"/>
        <w:ind w:left="20" w:right="20" w:firstLine="680"/>
      </w:pPr>
      <w:r>
        <w:rPr>
          <w:lang w:val="ru-RU" w:eastAsia="ru-RU" w:bidi="ru-RU"/>
          <w:w w:val="100"/>
          <w:spacing w:val="0"/>
          <w:color w:val="000000"/>
          <w:position w:val="0"/>
        </w:rPr>
        <w:t>Кроме того, в ответе на запрос разъяснений положений документации от 28.09.2021г. и 30.09.2021г. заказчиком было также указано следующее:</w:t>
      </w:r>
    </w:p>
    <w:p>
      <w:pPr>
        <w:pStyle w:val="Style22"/>
        <w:widowControl w:val="0"/>
        <w:keepNext w:val="0"/>
        <w:keepLines w:val="0"/>
        <w:shd w:val="clear" w:color="auto" w:fill="auto"/>
        <w:bidi w:val="0"/>
        <w:jc w:val="both"/>
        <w:spacing w:before="0" w:after="0"/>
        <w:ind w:left="20" w:right="20" w:firstLine="680"/>
      </w:pPr>
      <w:r>
        <w:rPr>
          <w:lang w:val="ru-RU" w:eastAsia="ru-RU" w:bidi="ru-RU"/>
          <w:w w:val="100"/>
          <w:spacing w:val="0"/>
          <w:color w:val="000000"/>
          <w:position w:val="0"/>
        </w:rPr>
        <w:t xml:space="preserve">«Контракты (договоры), предложенные участниками конкурса, конкурсная комиссия будет оценивать в штуках, при этом лучшим предложением будет считаться максимальное количество. Но приниматься к оценке каждый контракт (договор) будет при условии, если выполненные работы (оказанные услуги) по нему будут сопоставимого характера и объема, а также, если по нему будет представлен полный пакет подтверждающих документов (копии Контрактов (договоров) со всеми приложениями и дополнениями к ним, являющимися их неотъемлемой </w:t>
      </w:r>
      <w:r>
        <w:rPr>
          <w:rStyle w:val="CharStyle38"/>
        </w:rPr>
        <w:t xml:space="preserve">частью, и копии Актов о приемке выполненных работ (оказанных </w:t>
      </w:r>
      <w:r>
        <w:rPr>
          <w:lang w:val="ru-RU" w:eastAsia="ru-RU" w:bidi="ru-RU"/>
          <w:w w:val="100"/>
          <w:spacing w:val="0"/>
          <w:color w:val="000000"/>
          <w:position w:val="0"/>
        </w:rPr>
        <w:t>услуг), подтверждающих стоимость выполненных работ (оказанных услуг) по представленным Контрактам (договорам)).</w:t>
      </w:r>
    </w:p>
    <w:p>
      <w:pPr>
        <w:pStyle w:val="Style22"/>
        <w:widowControl w:val="0"/>
        <w:keepNext w:val="0"/>
        <w:keepLines w:val="0"/>
        <w:shd w:val="clear" w:color="auto" w:fill="auto"/>
        <w:bidi w:val="0"/>
        <w:jc w:val="both"/>
        <w:spacing w:before="0" w:after="0"/>
        <w:ind w:left="20" w:right="0" w:firstLine="680"/>
      </w:pPr>
      <w:r>
        <w:rPr>
          <w:lang w:val="ru-RU" w:eastAsia="ru-RU" w:bidi="ru-RU"/>
          <w:w w:val="100"/>
          <w:spacing w:val="0"/>
          <w:color w:val="000000"/>
          <w:position w:val="0"/>
        </w:rPr>
        <w:t>Приниматься к оценке будут следующие из указанных в запросе условий:</w:t>
      </w:r>
    </w:p>
    <w:p>
      <w:pPr>
        <w:pStyle w:val="Style22"/>
        <w:widowControl w:val="0"/>
        <w:keepNext w:val="0"/>
        <w:keepLines w:val="0"/>
        <w:shd w:val="clear" w:color="auto" w:fill="auto"/>
        <w:bidi w:val="0"/>
        <w:jc w:val="both"/>
        <w:spacing w:before="0" w:after="0"/>
        <w:ind w:left="20" w:right="20" w:firstLine="680"/>
      </w:pPr>
      <w:r>
        <w:rPr>
          <w:lang w:val="ru-RU" w:eastAsia="ru-RU" w:bidi="ru-RU"/>
          <w:w w:val="100"/>
          <w:spacing w:val="0"/>
          <w:color w:val="000000"/>
          <w:position w:val="0"/>
        </w:rPr>
        <w:t>а) объём выполненных работ по установке (монтажу) противоослепляющих экранов должен составлять не менее 50% (от НМЦК данной закупки) по КАЖДОМУ из представленных контрактов, и контракт не предусматривает иных видов работ;</w:t>
      </w:r>
    </w:p>
    <w:p>
      <w:pPr>
        <w:pStyle w:val="Style22"/>
        <w:tabs>
          <w:tab w:leader="none" w:pos="1168" w:val="left"/>
        </w:tabs>
        <w:widowControl w:val="0"/>
        <w:keepNext w:val="0"/>
        <w:keepLines w:val="0"/>
        <w:shd w:val="clear" w:color="auto" w:fill="auto"/>
        <w:bidi w:val="0"/>
        <w:jc w:val="both"/>
        <w:spacing w:before="0" w:after="0"/>
        <w:ind w:left="20" w:right="20" w:firstLine="680"/>
      </w:pPr>
      <w:r>
        <w:rPr>
          <w:lang w:val="ru-RU" w:eastAsia="ru-RU" w:bidi="ru-RU"/>
          <w:w w:val="100"/>
          <w:spacing w:val="0"/>
          <w:color w:val="000000"/>
          <w:position w:val="0"/>
        </w:rPr>
        <w:t>д)</w:t>
        <w:tab/>
        <w:t>в составе контракта на содержание автомобильных дорог должны присутствовать работы по установке противоослепляющих экранов, при этом объём работ по установке противоослепляющих экранов не может составлять менее 50% (от НМЦК данной закупки) в составе КАЖДОГО контракта на содержание автомобильных дорог.</w:t>
      </w:r>
    </w:p>
    <w:p>
      <w:pPr>
        <w:pStyle w:val="Style22"/>
        <w:widowControl w:val="0"/>
        <w:keepNext w:val="0"/>
        <w:keepLines w:val="0"/>
        <w:shd w:val="clear" w:color="auto" w:fill="auto"/>
        <w:bidi w:val="0"/>
        <w:jc w:val="both"/>
        <w:spacing w:before="0" w:after="0"/>
        <w:ind w:left="20" w:right="20" w:firstLine="680"/>
      </w:pPr>
      <w:r>
        <w:rPr>
          <w:lang w:val="ru-RU" w:eastAsia="ru-RU" w:bidi="ru-RU"/>
          <w:w w:val="100"/>
          <w:spacing w:val="0"/>
          <w:color w:val="000000"/>
          <w:position w:val="0"/>
        </w:rPr>
        <w:t>Также участник закупки может представить иные контракты (договоры). Обязательное условие, чтобы в каждом представленном контракте (договоре) объем выполненных работ (оказанных услуг) по установке противоослепляющих экранов был на сумму не менее 50 % начальной (максимальной) цены контракта, на право заключить который проводится настоящий конкурс.</w:t>
      </w:r>
    </w:p>
    <w:p>
      <w:pPr>
        <w:pStyle w:val="Style22"/>
        <w:widowControl w:val="0"/>
        <w:keepNext w:val="0"/>
        <w:keepLines w:val="0"/>
        <w:shd w:val="clear" w:color="auto" w:fill="auto"/>
        <w:bidi w:val="0"/>
        <w:jc w:val="both"/>
        <w:spacing w:before="0" w:after="0"/>
        <w:ind w:left="20" w:right="20" w:firstLine="680"/>
      </w:pPr>
      <w:r>
        <w:rPr>
          <w:lang w:val="ru-RU" w:eastAsia="ru-RU" w:bidi="ru-RU"/>
          <w:w w:val="100"/>
          <w:spacing w:val="0"/>
          <w:color w:val="000000"/>
          <w:position w:val="0"/>
        </w:rPr>
        <w:t>Подтверждением выполнения работ (оказания услуг) являются копии государственных и(или) муниципальных контрактов, и(или) иных гражданско- правовых договоров, заключенных за период с 2018 г. по 2021 г., со всеми приложениями и дополнениями к ним и копии Актов о приемке выполненных работ (оказанных услуг) по данным Контрактам (договорам), подтверждающих у участника наличие опыта, соответствующего предмету закупки».</w:t>
      </w:r>
    </w:p>
    <w:p>
      <w:pPr>
        <w:pStyle w:val="Style22"/>
        <w:widowControl w:val="0"/>
        <w:keepNext w:val="0"/>
        <w:keepLines w:val="0"/>
        <w:shd w:val="clear" w:color="auto" w:fill="auto"/>
        <w:bidi w:val="0"/>
        <w:jc w:val="both"/>
        <w:spacing w:before="0" w:after="0"/>
        <w:ind w:left="20" w:right="20" w:firstLine="680"/>
      </w:pPr>
      <w:r>
        <w:rPr>
          <w:lang w:val="ru-RU" w:eastAsia="ru-RU" w:bidi="ru-RU"/>
          <w:w w:val="100"/>
          <w:spacing w:val="0"/>
          <w:color w:val="000000"/>
          <w:position w:val="0"/>
        </w:rPr>
        <w:t xml:space="preserve">Комиссия Татарстанского У ФАС России приходит к выводу, что установленный нестоимостной критерий в конкурсной документации не выходит за рамки требований действующего законодательства о контрактной системе и утвержденных постановлением Правительства Российской Федерации от 28 ноября 2013 г. </w:t>
      </w:r>
      <w:r>
        <w:rPr>
          <w:lang w:val="en-US" w:eastAsia="en-US" w:bidi="en-US"/>
          <w:w w:val="100"/>
          <w:spacing w:val="0"/>
          <w:color w:val="000000"/>
          <w:position w:val="0"/>
        </w:rPr>
        <w:t xml:space="preserve">N </w:t>
      </w:r>
      <w:r>
        <w:rPr>
          <w:lang w:val="ru-RU" w:eastAsia="ru-RU" w:bidi="ru-RU"/>
          <w:w w:val="100"/>
          <w:spacing w:val="0"/>
          <w:color w:val="000000"/>
          <w:position w:val="0"/>
        </w:rPr>
        <w:t>1085 Правил оценки заявок и применяется ко всем участникам в равной степени.</w:t>
      </w:r>
    </w:p>
    <w:p>
      <w:pPr>
        <w:pStyle w:val="Style22"/>
        <w:widowControl w:val="0"/>
        <w:keepNext w:val="0"/>
        <w:keepLines w:val="0"/>
        <w:shd w:val="clear" w:color="auto" w:fill="auto"/>
        <w:bidi w:val="0"/>
        <w:jc w:val="both"/>
        <w:spacing w:before="0" w:after="0"/>
        <w:ind w:left="20" w:right="20" w:firstLine="680"/>
      </w:pPr>
      <w:r>
        <w:rPr>
          <w:lang w:val="ru-RU" w:eastAsia="ru-RU" w:bidi="ru-RU"/>
          <w:w w:val="100"/>
          <w:spacing w:val="0"/>
          <w:color w:val="000000"/>
          <w:position w:val="0"/>
        </w:rPr>
        <w:t>Вместе с тем, установленный заказчиком нестоимостной критерий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 не является единственным в документации. Заказчиком также установлен стоимостной критерий «Цена контракта».</w:t>
      </w:r>
    </w:p>
    <w:p>
      <w:pPr>
        <w:pStyle w:val="Style22"/>
        <w:widowControl w:val="0"/>
        <w:keepNext w:val="0"/>
        <w:keepLines w:val="0"/>
        <w:shd w:val="clear" w:color="auto" w:fill="auto"/>
        <w:bidi w:val="0"/>
        <w:jc w:val="both"/>
        <w:spacing w:before="0" w:after="0"/>
        <w:ind w:left="20" w:right="20" w:firstLine="680"/>
      </w:pPr>
      <w:r>
        <w:rPr>
          <w:lang w:val="ru-RU" w:eastAsia="ru-RU" w:bidi="ru-RU"/>
          <w:w w:val="100"/>
          <w:spacing w:val="0"/>
          <w:color w:val="000000"/>
          <w:position w:val="0"/>
        </w:rPr>
        <w:t>Из чего следует, что оценка заявок будет проводиться из совокупности всех критериев, установленных заказчиком в конкурсной документации.</w:t>
      </w:r>
    </w:p>
    <w:p>
      <w:pPr>
        <w:pStyle w:val="Style22"/>
        <w:widowControl w:val="0"/>
        <w:keepNext w:val="0"/>
        <w:keepLines w:val="0"/>
        <w:shd w:val="clear" w:color="auto" w:fill="auto"/>
        <w:bidi w:val="0"/>
        <w:jc w:val="both"/>
        <w:spacing w:before="0" w:after="0"/>
        <w:ind w:left="20" w:right="20" w:firstLine="680"/>
      </w:pPr>
      <w:r>
        <w:rPr>
          <w:lang w:val="ru-RU" w:eastAsia="ru-RU" w:bidi="ru-RU"/>
          <w:w w:val="100"/>
          <w:spacing w:val="0"/>
          <w:color w:val="000000"/>
          <w:position w:val="0"/>
        </w:rPr>
        <w:t>Учитывая вышеизложенные обстоятельства, Комиссия приходит к выводу о необоснованности довода заявителя.</w:t>
      </w:r>
    </w:p>
    <w:p>
      <w:pPr>
        <w:pStyle w:val="Style22"/>
        <w:widowControl w:val="0"/>
        <w:keepNext w:val="0"/>
        <w:keepLines w:val="0"/>
        <w:shd w:val="clear" w:color="auto" w:fill="auto"/>
        <w:bidi w:val="0"/>
        <w:jc w:val="both"/>
        <w:spacing w:before="0" w:after="0" w:line="346" w:lineRule="exact"/>
        <w:ind w:left="20" w:right="20" w:firstLine="700"/>
      </w:pPr>
      <w:r>
        <w:rPr>
          <w:lang w:val="ru-RU" w:eastAsia="ru-RU" w:bidi="ru-RU"/>
          <w:w w:val="100"/>
          <w:spacing w:val="0"/>
          <w:color w:val="000000"/>
          <w:position w:val="0"/>
        </w:rPr>
        <w:t>Кроме того, заявитель на заседание Комиссии Татарстанского У ФАС России не явился, доказательств, подтверждающих обоснованность своих доводов не</w:t>
      </w:r>
    </w:p>
    <w:p>
      <w:pPr>
        <w:pStyle w:val="Style22"/>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представил.</w:t>
      </w:r>
    </w:p>
    <w:p>
      <w:pPr>
        <w:pStyle w:val="Style22"/>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Также в ходе проведения внеплановой документарной проверки в соответствии с частью 15 статьи 99 Закона о контрактной системе Комиссией Татарстанского УФАС России выявлено следующее нарушение.</w:t>
      </w:r>
    </w:p>
    <w:p>
      <w:pPr>
        <w:pStyle w:val="Style22"/>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Пунктом 1 части 1 статьи 54.3 Закона о контрактной системе установлено, что конкурсная документация наряду с информацией, указанной в извещении о проведении открытого конкурса в электронной форме, должна содержать наименование и описание объекта закупки и условий контракта в соответствии со статьей 33 настоящего Федерального закона, в том числе обоснование начальной (максимальной) цены контракта, начальных цен единиц товара, работы, услуги.</w:t>
      </w:r>
    </w:p>
    <w:p>
      <w:pPr>
        <w:pStyle w:val="Style22"/>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 соответствии с пунктом 2 части 1 статьи 33 Закона о контрактной системе заказчик при описании в документации о закупке объекта закупки должен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pPr>
        <w:pStyle w:val="Style22"/>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Вместе с тем, Комиссией установлено, что в перечне нормативно-технических документов, обязательных при выполнении работ, указанном в проекте контракта заказчиком установлены недействующие стандарты соответствия:</w:t>
      </w:r>
    </w:p>
    <w:p>
      <w:pPr>
        <w:pStyle w:val="Style22"/>
        <w:numPr>
          <w:ilvl w:val="0"/>
          <w:numId w:val="3"/>
        </w:numPr>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 xml:space="preserve"> СП 34.13330.2012. «Автомобильные дороги» - документ утратил силу полностью с 01.09.2021 в связи признанием утратившим силу Постановления Правительства РФ от 04.07.2020 </w:t>
      </w:r>
      <w:r>
        <w:rPr>
          <w:lang w:val="en-US" w:eastAsia="en-US" w:bidi="en-US"/>
          <w:w w:val="100"/>
          <w:spacing w:val="0"/>
          <w:color w:val="000000"/>
          <w:position w:val="0"/>
        </w:rPr>
        <w:t xml:space="preserve">N </w:t>
      </w:r>
      <w:r>
        <w:rPr>
          <w:lang w:val="ru-RU" w:eastAsia="ru-RU" w:bidi="ru-RU"/>
          <w:w w:val="100"/>
          <w:spacing w:val="0"/>
          <w:color w:val="000000"/>
          <w:position w:val="0"/>
        </w:rPr>
        <w:t>985.</w:t>
      </w:r>
    </w:p>
    <w:p>
      <w:pPr>
        <w:pStyle w:val="Style22"/>
        <w:numPr>
          <w:ilvl w:val="0"/>
          <w:numId w:val="3"/>
        </w:numPr>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 xml:space="preserve"> ВСН 8-89. «Ведомственные строительные нормы. Инструкция по охране природной среды при строительстве, ремонте и содержании автомобильных дорог» - документ утратил силу в связи с изданием Приказа Минтранса России от 11.03.2021 </w:t>
      </w:r>
      <w:r>
        <w:rPr>
          <w:rStyle w:val="CharStyle39"/>
        </w:rPr>
        <w:t>N68.</w:t>
      </w:r>
    </w:p>
    <w:p>
      <w:pPr>
        <w:pStyle w:val="Style22"/>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Таким образом, заказчиком нарушены требования пункта 2 части 1 статьи 33, пункта 1 части 1 статьи 54.3 Закона о контрактной системе.</w:t>
      </w:r>
    </w:p>
    <w:p>
      <w:pPr>
        <w:pStyle w:val="Style22"/>
        <w:widowControl w:val="0"/>
        <w:keepNext w:val="0"/>
        <w:keepLines w:val="0"/>
        <w:shd w:val="clear" w:color="auto" w:fill="auto"/>
        <w:bidi w:val="0"/>
        <w:jc w:val="both"/>
        <w:spacing w:before="0" w:after="0" w:line="331" w:lineRule="exact"/>
        <w:ind w:left="20" w:right="20" w:firstLine="700"/>
      </w:pPr>
      <w:r>
        <w:rPr>
          <w:lang w:val="ru-RU" w:eastAsia="ru-RU" w:bidi="ru-RU"/>
          <w:w w:val="100"/>
          <w:spacing w:val="0"/>
          <w:color w:val="000000"/>
          <w:position w:val="0"/>
        </w:rPr>
        <w:t>Вместе с тем, учитывая, что выявленное нарушение не повлияло на результаты определения поставщика, предписание об устранении нарушений действующего законодательства не выдавать.</w:t>
      </w:r>
    </w:p>
    <w:p>
      <w:pPr>
        <w:pStyle w:val="Style22"/>
        <w:widowControl w:val="0"/>
        <w:keepNext w:val="0"/>
        <w:keepLines w:val="0"/>
        <w:shd w:val="clear" w:color="auto" w:fill="auto"/>
        <w:bidi w:val="0"/>
        <w:jc w:val="both"/>
        <w:spacing w:before="0" w:after="357" w:line="331" w:lineRule="exact"/>
        <w:ind w:left="20" w:right="20" w:firstLine="700"/>
      </w:pPr>
      <w:r>
        <w:rPr>
          <w:lang w:val="ru-RU" w:eastAsia="ru-RU" w:bidi="ru-RU"/>
          <w:w w:val="100"/>
          <w:spacing w:val="0"/>
          <w:color w:val="000000"/>
          <w:position w:val="0"/>
        </w:rPr>
        <w:t>На основании вышеизложенного, руководствуясь пунктом 2 части 22 статьи 99, частью 8 статьи 106 Федерального закона от 05.04.2013г. № 44-ФЗ «О контрактной системе в сфере закупок товаров, работ, услуг для обеспечения государственных и муниципальных нужд», Комиссия</w:t>
      </w:r>
    </w:p>
    <w:p>
      <w:pPr>
        <w:pStyle w:val="Style22"/>
        <w:widowControl w:val="0"/>
        <w:keepNext w:val="0"/>
        <w:keepLines w:val="0"/>
        <w:shd w:val="clear" w:color="auto" w:fill="auto"/>
        <w:bidi w:val="0"/>
        <w:jc w:val="left"/>
        <w:spacing w:before="0" w:after="307" w:line="260" w:lineRule="exact"/>
        <w:ind w:left="4900" w:right="0" w:firstLine="0"/>
      </w:pPr>
      <w:r>
        <w:rPr>
          <w:lang w:val="ru-RU" w:eastAsia="ru-RU" w:bidi="ru-RU"/>
          <w:w w:val="100"/>
          <w:spacing w:val="0"/>
          <w:color w:val="000000"/>
          <w:position w:val="0"/>
        </w:rPr>
        <w:t>РЕШИЛА:</w:t>
      </w:r>
    </w:p>
    <w:p>
      <w:pPr>
        <w:pStyle w:val="Style22"/>
        <w:numPr>
          <w:ilvl w:val="0"/>
          <w:numId w:val="5"/>
        </w:numPr>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 xml:space="preserve"> Признать жалобу заявителя ООО «Асгард» (вх. № 13925/ж от 15.10.2021г.) на действия заказчика ФКУ «Федеральное управление автомобильных дорог Волго-Вятского региона Федерального дорожного агентства» при проведении закупки №0311100007221000085 на предмет: «Установка противоослепляющих экранов на автомобильных дорогах» необоснованной.</w:t>
      </w:r>
    </w:p>
    <w:p>
      <w:pPr>
        <w:pStyle w:val="Style22"/>
        <w:numPr>
          <w:ilvl w:val="0"/>
          <w:numId w:val="5"/>
        </w:numPr>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 xml:space="preserve"> Признать заказчика ФКУ «Федеральное управление автомобильных дорог Волго-Вятского региона Федерального дорожного агентства» нарушившим требования пункта 2 части 1 статьи 33, пункта 1 части 1 статьи 54.3 Федерального закона от 05.04.2013г. № 44-ФЗ «О контрактной системе в сфере закупок товаров, работ, услуг для обеспечения государственных и муниципальных нужд».</w:t>
      </w:r>
    </w:p>
    <w:p>
      <w:pPr>
        <w:pStyle w:val="Style22"/>
        <w:numPr>
          <w:ilvl w:val="0"/>
          <w:numId w:val="5"/>
        </w:numPr>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 xml:space="preserve"> Предписание об устранении нарушений действующего законодательства не выдавать.</w:t>
      </w:r>
    </w:p>
    <w:p>
      <w:pPr>
        <w:pStyle w:val="Style22"/>
        <w:numPr>
          <w:ilvl w:val="0"/>
          <w:numId w:val="5"/>
        </w:numPr>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 xml:space="preserve"> Передать материалы должностному лицу Управления Федеральной антимонопольной службы по Республике Татарстан для рассмотрения вопроса о необходимости возбуждения административного производства в отношении лиц, допустивших нарушение норм законодательства Российской Федерации о контрактной системе.</w:t>
      </w:r>
    </w:p>
    <w:p>
      <w:pPr>
        <w:pStyle w:val="Style22"/>
        <w:widowControl w:val="0"/>
        <w:keepNext w:val="0"/>
        <w:keepLines w:val="0"/>
        <w:shd w:val="clear" w:color="auto" w:fill="auto"/>
        <w:bidi w:val="0"/>
        <w:jc w:val="both"/>
        <w:spacing w:before="0" w:after="652"/>
        <w:ind w:left="20" w:right="20" w:firstLine="700"/>
      </w:pPr>
      <w:r>
        <w:rPr>
          <w:lang w:val="ru-RU" w:eastAsia="ru-RU" w:bidi="ru-RU"/>
          <w:w w:val="100"/>
          <w:spacing w:val="0"/>
          <w:color w:val="000000"/>
          <w:position w:val="0"/>
        </w:rPr>
        <w:t>Решение Комиссии может быть обжаловано в судебном порядке в течение трех месяцев со дня его принятия.</w:t>
      </w:r>
    </w:p>
    <w:p>
      <w:pPr>
        <w:pStyle w:val="Style22"/>
        <w:widowControl w:val="0"/>
        <w:keepNext w:val="0"/>
        <w:keepLines w:val="0"/>
        <w:shd w:val="clear" w:color="auto" w:fill="auto"/>
        <w:bidi w:val="0"/>
        <w:jc w:val="left"/>
        <w:spacing w:before="0" w:after="1371" w:line="634" w:lineRule="exact"/>
        <w:ind w:left="20" w:right="4080" w:firstLine="0"/>
      </w:pPr>
      <w:r>
        <w:rPr>
          <w:lang w:val="ru-RU" w:eastAsia="ru-RU" w:bidi="ru-RU"/>
          <w:w w:val="100"/>
          <w:spacing w:val="0"/>
          <w:color w:val="000000"/>
          <w:position w:val="0"/>
        </w:rPr>
        <w:t>Председателя Комиссии: Члены Комиссии:</w:t>
      </w:r>
    </w:p>
    <w:p>
      <w:pPr>
        <w:pStyle w:val="Style15"/>
        <w:widowControl w:val="0"/>
        <w:keepNext w:val="0"/>
        <w:keepLines w:val="0"/>
        <w:shd w:val="clear" w:color="auto" w:fill="auto"/>
        <w:bidi w:val="0"/>
        <w:jc w:val="left"/>
        <w:spacing w:before="0" w:after="0" w:line="270" w:lineRule="exact"/>
        <w:ind w:left="20" w:right="6940" w:firstLine="0"/>
      </w:pPr>
      <w:r>
        <w:rPr>
          <w:lang w:val="ru-RU" w:eastAsia="ru-RU" w:bidi="ru-RU"/>
          <w:w w:val="100"/>
          <w:spacing w:val="0"/>
          <w:color w:val="000000"/>
          <w:position w:val="0"/>
        </w:rPr>
        <w:t>Исп.: Кучеева Алина Сергеевна, Тел. (843) 293-10-91</w:t>
      </w:r>
    </w:p>
    <w:sectPr>
      <w:type w:val="continuous"/>
      <w:pgSz w:w="11906" w:h="16838"/>
      <w:pgMar w:top="1176" w:left="859" w:right="823" w:bottom="92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2"/>
      <w:szCs w:val="22"/>
      <w:rFonts w:ascii="Times New Roman" w:eastAsia="Times New Roman" w:hAnsi="Times New Roman" w:cs="Times New Roman"/>
      <w:spacing w:val="10"/>
    </w:rPr>
  </w:style>
  <w:style w:type="character" w:customStyle="1" w:styleId="CharStyle5">
    <w:name w:val="Основной текст (2)"/>
    <w:basedOn w:val="CharStyle4"/>
    <w:rPr>
      <w:lang w:val="ru-RU" w:eastAsia="ru-RU" w:bidi="ru-RU"/>
      <w:w w:val="100"/>
      <w:color w:val="000000"/>
      <w:position w:val="0"/>
    </w:rPr>
  </w:style>
  <w:style w:type="character" w:customStyle="1" w:styleId="CharStyle7">
    <w:name w:val="Основной текст (3)_"/>
    <w:basedOn w:val="DefaultParagraphFont"/>
    <w:link w:val="Style6"/>
    <w:rPr>
      <w:b w:val="0"/>
      <w:bCs w:val="0"/>
      <w:i w:val="0"/>
      <w:iCs w:val="0"/>
      <w:u w:val="none"/>
      <w:strike w:val="0"/>
      <w:smallCaps w:val="0"/>
      <w:sz w:val="15"/>
      <w:szCs w:val="15"/>
      <w:rFonts w:ascii="Times New Roman" w:eastAsia="Times New Roman" w:hAnsi="Times New Roman" w:cs="Times New Roman"/>
    </w:rPr>
  </w:style>
  <w:style w:type="character" w:customStyle="1" w:styleId="CharStyle8">
    <w:name w:val="Основной текст (3)"/>
    <w:basedOn w:val="CharStyle7"/>
    <w:rPr>
      <w:lang w:val="ru-RU" w:eastAsia="ru-RU" w:bidi="ru-RU"/>
      <w:w w:val="100"/>
      <w:spacing w:val="0"/>
      <w:color w:val="000000"/>
      <w:position w:val="0"/>
    </w:rPr>
  </w:style>
  <w:style w:type="character" w:customStyle="1" w:styleId="CharStyle10">
    <w:name w:val="Заголовок №1_"/>
    <w:basedOn w:val="DefaultParagraphFont"/>
    <w:link w:val="Style9"/>
    <w:rPr>
      <w:b w:val="0"/>
      <w:bCs w:val="0"/>
      <w:i/>
      <w:iCs/>
      <w:u w:val="none"/>
      <w:strike w:val="0"/>
      <w:smallCaps w:val="0"/>
      <w:sz w:val="74"/>
      <w:szCs w:val="74"/>
      <w:rFonts w:ascii="Times New Roman" w:eastAsia="Times New Roman" w:hAnsi="Times New Roman" w:cs="Times New Roman"/>
      <w:spacing w:val="-120"/>
    </w:rPr>
  </w:style>
  <w:style w:type="character" w:customStyle="1" w:styleId="CharStyle11">
    <w:name w:val="Заголовок №1 + 36 pt,Интервал 0 pt"/>
    <w:basedOn w:val="CharStyle10"/>
    <w:rPr>
      <w:lang w:val="ru-RU" w:eastAsia="ru-RU" w:bidi="ru-RU"/>
      <w:sz w:val="72"/>
      <w:szCs w:val="72"/>
      <w:w w:val="100"/>
      <w:spacing w:val="0"/>
      <w:color w:val="000000"/>
      <w:position w:val="0"/>
    </w:rPr>
  </w:style>
  <w:style w:type="character" w:customStyle="1" w:styleId="CharStyle12">
    <w:name w:val="Заголовок №1 + 36 pt,Не курсив,Интервал 0 pt"/>
    <w:basedOn w:val="CharStyle10"/>
    <w:rPr>
      <w:lang w:val="ru-RU" w:eastAsia="ru-RU" w:bidi="ru-RU"/>
      <w:i/>
      <w:iCs/>
      <w:sz w:val="72"/>
      <w:szCs w:val="72"/>
      <w:w w:val="100"/>
      <w:spacing w:val="0"/>
      <w:color w:val="000000"/>
      <w:position w:val="0"/>
    </w:rPr>
  </w:style>
  <w:style w:type="character" w:customStyle="1" w:styleId="CharStyle13">
    <w:name w:val="Заголовок №1 + Не курсив,Интервал 0 pt"/>
    <w:basedOn w:val="CharStyle10"/>
    <w:rPr>
      <w:lang w:val="ru-RU" w:eastAsia="ru-RU" w:bidi="ru-RU"/>
      <w:i/>
      <w:iCs/>
      <w:w w:val="100"/>
      <w:spacing w:val="0"/>
      <w:color w:val="000000"/>
      <w:position w:val="0"/>
    </w:rPr>
  </w:style>
  <w:style w:type="character" w:customStyle="1" w:styleId="CharStyle14">
    <w:name w:val="Заголовок №1"/>
    <w:basedOn w:val="CharStyle10"/>
    <w:rPr>
      <w:lang w:val="ru-RU" w:eastAsia="ru-RU" w:bidi="ru-RU"/>
      <w:w w:val="100"/>
      <w:color w:val="000000"/>
      <w:position w:val="0"/>
    </w:rPr>
  </w:style>
  <w:style w:type="character" w:customStyle="1" w:styleId="CharStyle16">
    <w:name w:val="Основной текст (4)_"/>
    <w:basedOn w:val="DefaultParagraphFont"/>
    <w:link w:val="Style15"/>
    <w:rPr>
      <w:b w:val="0"/>
      <w:bCs w:val="0"/>
      <w:i w:val="0"/>
      <w:iCs w:val="0"/>
      <w:u w:val="none"/>
      <w:strike w:val="0"/>
      <w:smallCaps w:val="0"/>
      <w:sz w:val="22"/>
      <w:szCs w:val="22"/>
      <w:rFonts w:ascii="Times New Roman" w:eastAsia="Times New Roman" w:hAnsi="Times New Roman" w:cs="Times New Roman"/>
    </w:rPr>
  </w:style>
  <w:style w:type="character" w:customStyle="1" w:styleId="CharStyle17">
    <w:name w:val="Основной текст (4)"/>
    <w:basedOn w:val="CharStyle16"/>
    <w:rPr>
      <w:lang w:val="ru-RU" w:eastAsia="ru-RU" w:bidi="ru-RU"/>
      <w:w w:val="100"/>
      <w:spacing w:val="0"/>
      <w:color w:val="000000"/>
      <w:position w:val="0"/>
    </w:rPr>
  </w:style>
  <w:style w:type="character" w:customStyle="1" w:styleId="CharStyle19">
    <w:name w:val="Заголовок №2_"/>
    <w:basedOn w:val="DefaultParagraphFont"/>
    <w:link w:val="Style18"/>
    <w:rPr>
      <w:b/>
      <w:bCs/>
      <w:i w:val="0"/>
      <w:iCs w:val="0"/>
      <w:u w:val="none"/>
      <w:strike w:val="0"/>
      <w:smallCaps w:val="0"/>
      <w:sz w:val="28"/>
      <w:szCs w:val="28"/>
      <w:rFonts w:ascii="Tahoma" w:eastAsia="Tahoma" w:hAnsi="Tahoma" w:cs="Tahoma"/>
    </w:rPr>
  </w:style>
  <w:style w:type="character" w:customStyle="1" w:styleId="CharStyle20">
    <w:name w:val="Заголовок №2"/>
    <w:basedOn w:val="CharStyle19"/>
    <w:rPr>
      <w:lang w:val="ru-RU" w:eastAsia="ru-RU" w:bidi="ru-RU"/>
      <w:w w:val="100"/>
      <w:spacing w:val="0"/>
      <w:color w:val="000000"/>
      <w:position w:val="0"/>
    </w:rPr>
  </w:style>
  <w:style w:type="character" w:customStyle="1" w:styleId="CharStyle21">
    <w:name w:val="Заголовок №2 + Times New Roman,11 pt,Интервал 0 pt"/>
    <w:basedOn w:val="CharStyle19"/>
    <w:rPr>
      <w:lang w:val="ru-RU" w:eastAsia="ru-RU" w:bidi="ru-RU"/>
      <w:sz w:val="22"/>
      <w:szCs w:val="22"/>
      <w:rFonts w:ascii="Times New Roman" w:eastAsia="Times New Roman" w:hAnsi="Times New Roman" w:cs="Times New Roman"/>
      <w:w w:val="100"/>
      <w:spacing w:val="10"/>
      <w:color w:val="000000"/>
      <w:position w:val="0"/>
    </w:rPr>
  </w:style>
  <w:style w:type="character" w:customStyle="1" w:styleId="CharStyle23">
    <w:name w:val="Основной текст_"/>
    <w:basedOn w:val="DefaultParagraphFont"/>
    <w:link w:val="Style22"/>
    <w:rPr>
      <w:b w:val="0"/>
      <w:bCs w:val="0"/>
      <w:i w:val="0"/>
      <w:iCs w:val="0"/>
      <w:u w:val="none"/>
      <w:strike w:val="0"/>
      <w:smallCaps w:val="0"/>
      <w:sz w:val="26"/>
      <w:szCs w:val="26"/>
      <w:rFonts w:ascii="Times New Roman" w:eastAsia="Times New Roman" w:hAnsi="Times New Roman" w:cs="Times New Roman"/>
    </w:rPr>
  </w:style>
  <w:style w:type="character" w:customStyle="1" w:styleId="CharStyle24">
    <w:name w:val="Основной текст"/>
    <w:basedOn w:val="CharStyle23"/>
    <w:rPr>
      <w:lang w:val="ru-RU" w:eastAsia="ru-RU" w:bidi="ru-RU"/>
      <w:u w:val="single"/>
      <w:w w:val="100"/>
      <w:spacing w:val="0"/>
      <w:color w:val="000000"/>
      <w:position w:val="0"/>
    </w:rPr>
  </w:style>
  <w:style w:type="character" w:customStyle="1" w:styleId="CharStyle26">
    <w:name w:val="Заголовок №3_"/>
    <w:basedOn w:val="DefaultParagraphFont"/>
    <w:link w:val="Style25"/>
    <w:rPr>
      <w:b/>
      <w:bCs/>
      <w:i w:val="0"/>
      <w:iCs w:val="0"/>
      <w:u w:val="none"/>
      <w:strike w:val="0"/>
      <w:smallCaps w:val="0"/>
      <w:sz w:val="26"/>
      <w:szCs w:val="26"/>
      <w:rFonts w:ascii="Times New Roman" w:eastAsia="Times New Roman" w:hAnsi="Times New Roman" w:cs="Times New Roman"/>
    </w:rPr>
  </w:style>
  <w:style w:type="character" w:customStyle="1" w:styleId="CharStyle28">
    <w:name w:val="Основной текст (5)_"/>
    <w:basedOn w:val="DefaultParagraphFont"/>
    <w:link w:val="Style27"/>
    <w:rPr>
      <w:b/>
      <w:bCs/>
      <w:i w:val="0"/>
      <w:iCs w:val="0"/>
      <w:u w:val="none"/>
      <w:strike w:val="0"/>
      <w:smallCaps w:val="0"/>
      <w:sz w:val="26"/>
      <w:szCs w:val="26"/>
      <w:rFonts w:ascii="Times New Roman" w:eastAsia="Times New Roman" w:hAnsi="Times New Roman" w:cs="Times New Roman"/>
    </w:rPr>
  </w:style>
  <w:style w:type="character" w:customStyle="1" w:styleId="CharStyle29">
    <w:name w:val="Основной текст + 11 pt"/>
    <w:basedOn w:val="CharStyle23"/>
    <w:rPr>
      <w:lang w:val="ru-RU" w:eastAsia="ru-RU" w:bidi="ru-RU"/>
      <w:sz w:val="22"/>
      <w:szCs w:val="22"/>
      <w:w w:val="100"/>
      <w:spacing w:val="0"/>
      <w:color w:val="000000"/>
      <w:position w:val="0"/>
    </w:rPr>
  </w:style>
  <w:style w:type="character" w:customStyle="1" w:styleId="CharStyle30">
    <w:name w:val="Основной текст + 11 pt,Полужирный,Интервал 0 pt"/>
    <w:basedOn w:val="CharStyle23"/>
    <w:rPr>
      <w:lang w:val="ru-RU" w:eastAsia="ru-RU" w:bidi="ru-RU"/>
      <w:b/>
      <w:bCs/>
      <w:sz w:val="22"/>
      <w:szCs w:val="22"/>
      <w:w w:val="100"/>
      <w:spacing w:val="10"/>
      <w:color w:val="000000"/>
      <w:position w:val="0"/>
    </w:rPr>
  </w:style>
  <w:style w:type="character" w:customStyle="1" w:styleId="CharStyle31">
    <w:name w:val="Основной текст + 11 pt,Полужирный"/>
    <w:basedOn w:val="CharStyle23"/>
    <w:rPr>
      <w:lang w:val="ru-RU" w:eastAsia="ru-RU" w:bidi="ru-RU"/>
      <w:b/>
      <w:bCs/>
      <w:sz w:val="22"/>
      <w:szCs w:val="22"/>
      <w:w w:val="100"/>
      <w:spacing w:val="0"/>
      <w:color w:val="000000"/>
      <w:position w:val="0"/>
    </w:rPr>
  </w:style>
  <w:style w:type="character" w:customStyle="1" w:styleId="CharStyle32">
    <w:name w:val="Основной текст + Курсив"/>
    <w:basedOn w:val="CharStyle23"/>
    <w:rPr>
      <w:lang w:val="ru-RU" w:eastAsia="ru-RU" w:bidi="ru-RU"/>
      <w:i/>
      <w:iCs/>
      <w:w w:val="100"/>
      <w:spacing w:val="0"/>
      <w:color w:val="000000"/>
      <w:position w:val="0"/>
    </w:rPr>
  </w:style>
  <w:style w:type="character" w:customStyle="1" w:styleId="CharStyle33">
    <w:name w:val="Основной текст + Полужирный"/>
    <w:basedOn w:val="CharStyle23"/>
    <w:rPr>
      <w:lang w:val="ru-RU" w:eastAsia="ru-RU" w:bidi="ru-RU"/>
      <w:b/>
      <w:bCs/>
      <w:u w:val="single"/>
      <w:w w:val="100"/>
      <w:spacing w:val="0"/>
      <w:color w:val="000000"/>
      <w:position w:val="0"/>
    </w:rPr>
  </w:style>
  <w:style w:type="character" w:customStyle="1" w:styleId="CharStyle34">
    <w:name w:val="Основной текст + Полужирный,Курсив"/>
    <w:basedOn w:val="CharStyle23"/>
    <w:rPr>
      <w:lang w:val="ru-RU" w:eastAsia="ru-RU" w:bidi="ru-RU"/>
      <w:b/>
      <w:bCs/>
      <w:i/>
      <w:iCs/>
      <w:u w:val="single"/>
      <w:w w:val="100"/>
      <w:spacing w:val="0"/>
      <w:color w:val="000000"/>
      <w:position w:val="0"/>
    </w:rPr>
  </w:style>
  <w:style w:type="character" w:customStyle="1" w:styleId="CharStyle35">
    <w:name w:val="Основной текст"/>
    <w:basedOn w:val="CharStyle23"/>
    <w:rPr>
      <w:lang w:val="ru-RU" w:eastAsia="ru-RU" w:bidi="ru-RU"/>
      <w:w w:val="100"/>
      <w:spacing w:val="0"/>
      <w:color w:val="000000"/>
      <w:position w:val="0"/>
    </w:rPr>
  </w:style>
  <w:style w:type="character" w:customStyle="1" w:styleId="CharStyle37">
    <w:name w:val="Основной текст (6)_"/>
    <w:basedOn w:val="DefaultParagraphFont"/>
    <w:link w:val="Style36"/>
    <w:rPr>
      <w:b w:val="0"/>
      <w:bCs w:val="0"/>
      <w:i w:val="0"/>
      <w:iCs w:val="0"/>
      <w:u w:val="none"/>
      <w:strike w:val="0"/>
      <w:smallCaps w:val="0"/>
      <w:rFonts w:ascii="Times New Roman" w:eastAsia="Times New Roman" w:hAnsi="Times New Roman" w:cs="Times New Roman"/>
    </w:rPr>
  </w:style>
  <w:style w:type="character" w:customStyle="1" w:styleId="CharStyle38">
    <w:name w:val="Основной текст"/>
    <w:basedOn w:val="CharStyle23"/>
    <w:rPr>
      <w:lang w:val="ru-RU" w:eastAsia="ru-RU" w:bidi="ru-RU"/>
      <w:w w:val="100"/>
      <w:spacing w:val="0"/>
      <w:color w:val="000000"/>
      <w:position w:val="0"/>
    </w:rPr>
  </w:style>
  <w:style w:type="character" w:customStyle="1" w:styleId="CharStyle39">
    <w:name w:val="Основной текст"/>
    <w:basedOn w:val="CharStyle23"/>
    <w:rPr>
      <w:lang w:val="en-US" w:eastAsia="en-US" w:bidi="en-US"/>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after="300" w:line="274" w:lineRule="exact"/>
    </w:pPr>
    <w:rPr>
      <w:b/>
      <w:bCs/>
      <w:i w:val="0"/>
      <w:iCs w:val="0"/>
      <w:u w:val="none"/>
      <w:strike w:val="0"/>
      <w:smallCaps w:val="0"/>
      <w:sz w:val="22"/>
      <w:szCs w:val="22"/>
      <w:rFonts w:ascii="Times New Roman" w:eastAsia="Times New Roman" w:hAnsi="Times New Roman" w:cs="Times New Roman"/>
      <w:spacing w:val="10"/>
    </w:rPr>
  </w:style>
  <w:style w:type="paragraph" w:customStyle="1" w:styleId="Style6">
    <w:name w:val="Основной текст (3)"/>
    <w:basedOn w:val="Normal"/>
    <w:link w:val="CharStyle7"/>
    <w:pPr>
      <w:widowControl w:val="0"/>
      <w:shd w:val="clear" w:color="auto" w:fill="FFFFFF"/>
      <w:jc w:val="center"/>
      <w:spacing w:before="120" w:after="420" w:line="205"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9">
    <w:name w:val="Заголовок №1"/>
    <w:basedOn w:val="Normal"/>
    <w:link w:val="CharStyle10"/>
    <w:pPr>
      <w:widowControl w:val="0"/>
      <w:shd w:val="clear" w:color="auto" w:fill="FFFFFF"/>
      <w:outlineLvl w:val="0"/>
      <w:spacing w:before="420" w:after="300" w:line="0" w:lineRule="exact"/>
    </w:pPr>
    <w:rPr>
      <w:b w:val="0"/>
      <w:bCs w:val="0"/>
      <w:i/>
      <w:iCs/>
      <w:u w:val="none"/>
      <w:strike w:val="0"/>
      <w:smallCaps w:val="0"/>
      <w:sz w:val="74"/>
      <w:szCs w:val="74"/>
      <w:rFonts w:ascii="Times New Roman" w:eastAsia="Times New Roman" w:hAnsi="Times New Roman" w:cs="Times New Roman"/>
      <w:spacing w:val="-120"/>
    </w:rPr>
  </w:style>
  <w:style w:type="paragraph" w:customStyle="1" w:styleId="Style15">
    <w:name w:val="Основной текст (4)"/>
    <w:basedOn w:val="Normal"/>
    <w:link w:val="CharStyle16"/>
    <w:pPr>
      <w:widowControl w:val="0"/>
      <w:shd w:val="clear" w:color="auto" w:fill="FFFFFF"/>
      <w:jc w:val="both"/>
      <w:spacing w:before="300"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8">
    <w:name w:val="Заголовок №2"/>
    <w:basedOn w:val="Normal"/>
    <w:link w:val="CharStyle19"/>
    <w:pPr>
      <w:widowControl w:val="0"/>
      <w:shd w:val="clear" w:color="auto" w:fill="FFFFFF"/>
      <w:jc w:val="center"/>
      <w:outlineLvl w:val="1"/>
      <w:spacing w:after="60" w:line="0" w:lineRule="exact"/>
    </w:pPr>
    <w:rPr>
      <w:b/>
      <w:bCs/>
      <w:i w:val="0"/>
      <w:iCs w:val="0"/>
      <w:u w:val="none"/>
      <w:strike w:val="0"/>
      <w:smallCaps w:val="0"/>
      <w:sz w:val="28"/>
      <w:szCs w:val="28"/>
      <w:rFonts w:ascii="Tahoma" w:eastAsia="Tahoma" w:hAnsi="Tahoma" w:cs="Tahoma"/>
    </w:rPr>
  </w:style>
  <w:style w:type="paragraph" w:customStyle="1" w:styleId="Style22">
    <w:name w:val="Основной текст"/>
    <w:basedOn w:val="Normal"/>
    <w:link w:val="CharStyle23"/>
    <w:pPr>
      <w:widowControl w:val="0"/>
      <w:shd w:val="clear" w:color="auto" w:fill="FFFFFF"/>
      <w:spacing w:line="324"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25">
    <w:name w:val="Заголовок №3"/>
    <w:basedOn w:val="Normal"/>
    <w:link w:val="CharStyle26"/>
    <w:pPr>
      <w:widowControl w:val="0"/>
      <w:shd w:val="clear" w:color="auto" w:fill="FFFFFF"/>
      <w:jc w:val="center"/>
      <w:outlineLvl w:val="2"/>
      <w:spacing w:before="300" w:after="300" w:line="320" w:lineRule="exact"/>
    </w:pPr>
    <w:rPr>
      <w:b/>
      <w:bCs/>
      <w:i w:val="0"/>
      <w:iCs w:val="0"/>
      <w:u w:val="none"/>
      <w:strike w:val="0"/>
      <w:smallCaps w:val="0"/>
      <w:sz w:val="26"/>
      <w:szCs w:val="26"/>
      <w:rFonts w:ascii="Times New Roman" w:eastAsia="Times New Roman" w:hAnsi="Times New Roman" w:cs="Times New Roman"/>
    </w:rPr>
  </w:style>
  <w:style w:type="paragraph" w:customStyle="1" w:styleId="Style27">
    <w:name w:val="Основной текст (5)"/>
    <w:basedOn w:val="Normal"/>
    <w:link w:val="CharStyle28"/>
    <w:pPr>
      <w:widowControl w:val="0"/>
      <w:shd w:val="clear" w:color="auto" w:fill="FFFFFF"/>
      <w:jc w:val="both"/>
      <w:spacing w:line="320" w:lineRule="exact"/>
      <w:ind w:firstLine="680"/>
    </w:pPr>
    <w:rPr>
      <w:b/>
      <w:bCs/>
      <w:i w:val="0"/>
      <w:iCs w:val="0"/>
      <w:u w:val="none"/>
      <w:strike w:val="0"/>
      <w:smallCaps w:val="0"/>
      <w:sz w:val="26"/>
      <w:szCs w:val="26"/>
      <w:rFonts w:ascii="Times New Roman" w:eastAsia="Times New Roman" w:hAnsi="Times New Roman" w:cs="Times New Roman"/>
    </w:rPr>
  </w:style>
  <w:style w:type="paragraph" w:customStyle="1" w:styleId="Style36">
    <w:name w:val="Основной текст (6)"/>
    <w:basedOn w:val="Normal"/>
    <w:link w:val="CharStyle37"/>
    <w:pPr>
      <w:widowControl w:val="0"/>
      <w:shd w:val="clear" w:color="auto" w:fill="FFFFFF"/>
      <w:jc w:val="both"/>
      <w:spacing w:line="324" w:lineRule="exact"/>
      <w:ind w:firstLine="660"/>
    </w:pPr>
    <w:rPr>
      <w:b w:val="0"/>
      <w:bCs w:val="0"/>
      <w:i w:val="0"/>
      <w:iCs w:val="0"/>
      <w:u w:val="none"/>
      <w:strike w:val="0"/>
      <w:smallCaps w:val="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