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ФГБУ «ЦСП»</w:t>
      </w:r>
    </w:p>
    <w:p>
      <w:pPr>
        <w:pStyle w:val="Style5"/>
        <w:widowControl w:val="0"/>
        <w:keepNext w:val="0"/>
        <w:keepLines w:val="0"/>
        <w:shd w:val="clear" w:color="auto" w:fill="auto"/>
        <w:bidi w:val="0"/>
        <w:jc w:val="left"/>
        <w:spacing w:before="0" w:after="0"/>
        <w:ind w:left="5340" w:right="480" w:firstLine="0"/>
      </w:pPr>
      <w:r>
        <w:rPr>
          <w:lang w:val="ru-RU" w:eastAsia="ru-RU" w:bidi="ru-RU"/>
          <w:w w:val="100"/>
          <w:spacing w:val="0"/>
          <w:color w:val="000000"/>
          <w:position w:val="0"/>
        </w:rPr>
        <w:t>Казакова ул., д. 18, г. Москва, 105064 ООО «ДТК»</w:t>
      </w:r>
    </w:p>
    <w:p>
      <w:pPr>
        <w:pStyle w:val="Style5"/>
        <w:widowControl w:val="0"/>
        <w:keepNext w:val="0"/>
        <w:keepLines w:val="0"/>
        <w:shd w:val="clear" w:color="auto" w:fill="auto"/>
        <w:bidi w:val="0"/>
        <w:jc w:val="left"/>
        <w:spacing w:before="0" w:after="1757"/>
        <w:ind w:left="5340" w:right="0" w:firstLine="0"/>
      </w:pPr>
      <w:r>
        <w:rPr>
          <w:lang w:val="ru-RU" w:eastAsia="ru-RU" w:bidi="ru-RU"/>
          <w:w w:val="100"/>
          <w:spacing w:val="0"/>
          <w:color w:val="000000"/>
          <w:position w:val="0"/>
        </w:rPr>
        <w:t>ОПС № 005, а\я 55, г. Москва, 105005</w:t>
      </w:r>
    </w:p>
    <w:p>
      <w:pPr>
        <w:pStyle w:val="Style7"/>
        <w:tabs>
          <w:tab w:leader="none" w:pos="8968"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077/06/106-18756/2021 о нарушении законодательства о контрактной системе 21.10.2021</w:t>
        <w:tab/>
        <w:t>г. 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Грешнева,</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88"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both"/>
        <w:spacing w:before="0" w:after="0" w:line="293"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tabs>
          <w:tab w:leader="none" w:pos="606" w:val="left"/>
        </w:tabs>
        <w:widowControl w:val="0"/>
        <w:keepNext w:val="0"/>
        <w:keepLines w:val="0"/>
        <w:shd w:val="clear" w:color="auto" w:fill="auto"/>
        <w:bidi w:val="0"/>
        <w:jc w:val="both"/>
        <w:spacing w:before="0" w:after="0" w:line="288" w:lineRule="exact"/>
        <w:ind w:left="40" w:right="20" w:firstLine="680"/>
      </w:pPr>
      <w:r>
        <w:rPr>
          <w:lang w:val="ru-RU" w:eastAsia="ru-RU" w:bidi="ru-RU"/>
          <w:w w:val="100"/>
          <w:spacing w:val="0"/>
          <w:color w:val="000000"/>
          <w:position w:val="0"/>
        </w:rPr>
        <w:t>рассмотрение жалоб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288"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left"/>
        <w:spacing w:before="0" w:after="0" w:line="312" w:lineRule="exact"/>
        <w:ind w:left="40" w:right="20" w:firstLine="680"/>
      </w:pPr>
      <w:r>
        <w:rPr>
          <w:lang w:val="ru-RU" w:eastAsia="ru-RU" w:bidi="ru-RU"/>
          <w:w w:val="100"/>
          <w:spacing w:val="0"/>
          <w:color w:val="000000"/>
          <w:position w:val="0"/>
        </w:rPr>
        <w:t>при участии представителей ФГБУ «ЦСП»: Каменнова В.В., Хотова С.М., в отсутствие представителей ООО «ДТК», о времени и порядке заседания Комиссии Управления уведомлены надлежащим образом письмом Московского УФАС России исх. №ЕИ/63689/21 от 18.10.2021,</w:t>
      </w:r>
    </w:p>
    <w:p>
      <w:pPr>
        <w:pStyle w:val="Style3"/>
        <w:framePr w:w="1685" w:h="394" w:wrap="around" w:vAnchor="text" w:hAnchor="margin" w:x="385" w:y="294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001964781393</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рассмотрев жалобы ООО «ДТК» (далее — Заявитель) на действия ФГБУ «ЦСП» (далее — Заказчик) при проведении электронных аукционов на право заключения государственных контрактов на исполнение поручений по реализации ЕКП. Москва (ГЗ) (Закупки №№ 0373100104321000055, 0373100104321000056) (далее — аукционы),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w:t>
      </w:r>
      <w:r>
        <w:br w:type="page"/>
      </w:r>
    </w:p>
    <w:p>
      <w:pPr>
        <w:pStyle w:val="Style5"/>
        <w:tabs>
          <w:tab w:leader="none" w:pos="7695"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№727/14 (далее -</w:t>
      </w:r>
    </w:p>
    <w:p>
      <w:pPr>
        <w:pStyle w:val="Style5"/>
        <w:widowControl w:val="0"/>
        <w:keepNext w:val="0"/>
        <w:keepLines w:val="0"/>
        <w:shd w:val="clear" w:color="auto" w:fill="auto"/>
        <w:bidi w:val="0"/>
        <w:jc w:val="both"/>
        <w:spacing w:before="0" w:after="349" w:line="322" w:lineRule="exact"/>
        <w:ind w:left="20" w:right="0" w:firstLine="0"/>
      </w:pPr>
      <w:r>
        <w:rPr>
          <w:lang w:val="ru-RU" w:eastAsia="ru-RU" w:bidi="ru-RU"/>
          <w:w w:val="100"/>
          <w:spacing w:val="0"/>
          <w:color w:val="000000"/>
          <w:position w:val="0"/>
        </w:rPr>
        <w:t>Административный регламент),</w:t>
      </w:r>
    </w:p>
    <w:p>
      <w:pPr>
        <w:pStyle w:val="Style9"/>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вышеуказанных электронных аукционов.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 рассмотрев представленные документы и сведения, запрашиваемые письмом Московского УФАС России исх. №ЕИ/63689/21 от 18.10.2021,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доводам жалоб в Извещениях о проведении вышеуказанных электронных аукционов отсутствует информация об источниках финансирования, что нарушает права участников на информационное обеспечение, поскольку потенциальный участник закупки не имеет возможности однозначно установить условия проведения закупок.</w:t>
      </w:r>
    </w:p>
    <w:p>
      <w:pPr>
        <w:pStyle w:val="Style5"/>
        <w:tabs>
          <w:tab w:leader="none" w:pos="2621" w:val="left"/>
        </w:tabs>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 силу п.2</w:t>
        <w:tab/>
        <w:t>ст.42 Закона о контрактной системе в извещении об</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tabs>
          <w:tab w:leader="none" w:pos="10191" w:val="righ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в Извещениях о проведении электронных аукционов от 14.10.2021</w:t>
        <w:tab/>
        <w:t>№№0373100104321000055,</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0373100104321000056 отсутствует информация об источниках финансирования. Вместе с тем данная информация указана в п. 8.3 информационных карт аукционных документаций: «Субсидии бюджетным учреждениям на финансовое обеспечение выполнения государственного задания на оказание государственных услуг (выполнение работ)».</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что Заказчиком допущены формальные нарушения положений п.2 ст.42 Закона о контрактной системе в части отсутствия указания информации об источниках финансирования в Извещениях о проведении аукционов, что содержит признаки состава административного правонарушения, ответственность за которое предусмотрена ч.4.2 ст.7.30 Кодекса административных правонарушений.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Комиссией Управления установлено, что Заказчиком 18.10.2021 внесены изменения в извещения о проведении электронных аукционов, в частности</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Заказчиком в извещения внесена информация об источниках финансирования.</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Вышеуказанное обстоятельство свидетельствует о том, что выявленные Комиссией Управления нарушения Заказчиком п.2 ст.42 Закона о контрактной системе устранены Заказчиком самостоятельно посредством внесения изменений в аукционные документации.</w:t>
      </w:r>
    </w:p>
    <w:p>
      <w:pPr>
        <w:pStyle w:val="Style5"/>
        <w:widowControl w:val="0"/>
        <w:keepNext w:val="0"/>
        <w:keepLines w:val="0"/>
        <w:shd w:val="clear" w:color="auto" w:fill="auto"/>
        <w:bidi w:val="0"/>
        <w:jc w:val="both"/>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spacing w:before="0" w:after="352"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widowControl w:val="0"/>
        <w:keepNext w:val="0"/>
        <w:keepLines w:val="0"/>
        <w:shd w:val="clear" w:color="auto" w:fill="auto"/>
        <w:bidi w:val="0"/>
        <w:jc w:val="both"/>
        <w:spacing w:before="0" w:after="0" w:line="260" w:lineRule="exact"/>
        <w:ind w:left="0" w:right="0" w:firstLine="680"/>
      </w:pPr>
      <w:r>
        <w:rPr>
          <w:lang w:val="ru-RU" w:eastAsia="ru-RU" w:bidi="ru-RU"/>
          <w:w w:val="100"/>
          <w:spacing w:val="0"/>
          <w:color w:val="000000"/>
          <w:position w:val="0"/>
        </w:rPr>
        <w:t xml:space="preserve"> Признать жалобы ООО «ДТК» на действия ФГБУ «ЦСП» обоснованными.</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Признать в действиях Заказчика нарушения п.2 ст.42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об осуществлении закупок Заказчику не выдавать, поскольку выявленные нарушения устранены Заказчиком самостоятельно.</w:t>
      </w:r>
    </w:p>
    <w:p>
      <w:pPr>
        <w:pStyle w:val="Style5"/>
        <w:numPr>
          <w:ilvl w:val="0"/>
          <w:numId w:val="1"/>
        </w:numPr>
        <w:widowControl w:val="0"/>
        <w:keepNext w:val="0"/>
        <w:keepLines w:val="0"/>
        <w:shd w:val="clear" w:color="auto" w:fill="auto"/>
        <w:bidi w:val="0"/>
        <w:jc w:val="both"/>
        <w:spacing w:before="0" w:after="29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tabs>
          <w:tab w:leader="none" w:pos="10169" w:val="right"/>
          <w:tab w:leader="none" w:pos="10176"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9000" w:val="right"/>
          <w:tab w:leader="none" w:pos="1016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Е.О.</w:t>
        <w:tab/>
        <w:t>Сгибнев</w:t>
      </w:r>
    </w:p>
    <w:p>
      <w:pPr>
        <w:pStyle w:val="Style5"/>
        <w:widowControl w:val="0"/>
        <w:keepNext w:val="0"/>
        <w:keepLines w:val="0"/>
        <w:shd w:val="clear" w:color="auto" w:fill="auto"/>
        <w:bidi w:val="0"/>
        <w:jc w:val="right"/>
        <w:spacing w:before="0" w:after="3611" w:line="638" w:lineRule="exact"/>
        <w:ind w:left="0" w:right="20" w:firstLine="0"/>
      </w:pPr>
      <w:r>
        <w:rPr>
          <w:lang w:val="ru-RU" w:eastAsia="ru-RU" w:bidi="ru-RU"/>
          <w:w w:val="100"/>
          <w:spacing w:val="0"/>
          <w:color w:val="000000"/>
          <w:position w:val="0"/>
        </w:rPr>
        <w:t>В.А. Матвеев</w:t>
      </w:r>
    </w:p>
    <w:p>
      <w:pPr>
        <w:pStyle w:val="Style11"/>
        <w:widowControl w:val="0"/>
        <w:keepNext w:val="0"/>
        <w:keepLines w:val="0"/>
        <w:shd w:val="clear" w:color="auto" w:fill="auto"/>
        <w:bidi w:val="0"/>
        <w:jc w:val="left"/>
        <w:spacing w:before="0" w:after="0"/>
        <w:ind w:left="0" w:right="634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3"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0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330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