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6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 13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6" w:line="293" w:lineRule="exact"/>
        <w:ind w:left="54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Велозаводская, д. 1, к. 1, г. Москва, 115280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«Профтех»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30" w:line="298" w:lineRule="exact"/>
        <w:ind w:left="54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Байкальская, д. 1, стр. 8, пом. 1, г. Москва, 107497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8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905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 w:firstLine="4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077/06/106-18750/2021 о нарушении законодательства о контрактной системе 21.10.2021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2019-nCoV.,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ГБУЗ «ГКБ № 13 ДЗМ»: А.В. Истомина (по дов. №04/10/21 от 04.10.2021),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«Профтех», о времени и порядке заседания Комиссии уведомлены письмом Московского УФАС России исх. №ЕИ/63684/21 от 18.10.2021,</w:t>
      </w:r>
    </w:p>
    <w:p>
      <w:pPr>
        <w:pStyle w:val="Style3"/>
        <w:framePr w:w="1685" w:h="394" w:wrap="around" w:vAnchor="text" w:hAnchor="margin" w:x="452" w:y="260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000105963627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«Профтех» (далее - Заявитель) на действия ГБУЗ «ГКБ № 13 ДЗМ» (далее — Заказчик) при проведении электронного аукциона на право заключения государственного контракта на поставку расходных материалов (перчаток) на 1 квартал 2022 года для нужд ГБУЗ «ГКБ № 13 ДЗМ» (Закупка № 0373200009821000620)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3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от 18.10.2021 № ЕИ/63684/21.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tabs>
          <w:tab w:leader="none" w:pos="1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13.10.2021 №0373200009821000620-3 Заявителю (номер заявки 5) отказано в допуске к участию в аукционе, в том числе, на следующем основании: «Участником не предоставлены копии действующих Регистрационных удостоверений на предлагаемые товары медицинского назначения, требование о предоставлении которых установлено в п.18.2.3 Ау</w:t>
      </w:r>
      <w:r>
        <w:rPr>
          <w:rStyle w:val="CharStyle11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документации. Наименование заявленного к поставке товара не соответствует наименованиям в Регистрационных удостоверениях (требование о соответствии установлено в Приложение 1 к Техническому заданию «Сведения о качестве, технических характеристиках товара...»). Например - п.7 предлагаемый товар:</w:t>
        <w:tab/>
        <w:t>«Перчатки хирургические из латекса гевеи, неопудренные,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антибактериальные», в соответствии с РУ №ФСЗ 2009/04993 «Перчатки медицинские хирургические стерильные...», с РУ № 2018/6704 «Перчатки хирургические неопудренные стерильные полихлоропреновые...», с РУ № ФСЗ 2011/09785 «Перчатки медицинские хирургические латексные стерильные неопудренные белые...».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п.1-2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а также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tabs>
          <w:tab w:leader="none" w:pos="28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</w:t>
        <w:tab/>
        <w:t>ст.33 Закона о контрактной системе документация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положениям технической части аукционной документации Заказчиком закупаются, в частности, по п.7 «Перчатки хирургические из латекса гевеи, неопудренные, антибактериальные».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ч.3.1 ст.66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tabs>
          <w:tab w:leader="none" w:pos="13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5"/>
        <w:numPr>
          <w:ilvl w:val="0"/>
          <w:numId w:val="1"/>
        </w:numPr>
        <w:tabs>
          <w:tab w:leader="none" w:pos="13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tabs>
          <w:tab w:leader="none" w:pos="13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</w:t>
        <w:tab/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ч.3 ст.66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установлено, что в составе первой части заявки участник закупки выразил согласие на поставку товаров на условиях, предусмотренных документацией об аукционе, а также представил сведения о товарах, предлагаемых к поставке, в частности, по п.7 «Перчатки хирургические из латекса гевеи, неопудренные, антибактериальные», производства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Ansell Healthcare Europe NV,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Малайзия.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п.3 ч.5 ст.66 Закона о контрактной системе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2 п.18.2.3 информационной карты аукционной документации вторая часть заявки на участие в электронном аукционе должна содержать: «Копии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Копии действующих регистрационных удостоверений, выданных Министерством здравоохранения Российской Федерации».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в составе второй части заявки Заявитель представил регистрационные удостоверения (далее — РУ), в частности №ФСЗ 2011/09785 от 13.12.2013 на медицинское изделие «Перчатки медицинские хирургические латексные стерильные неопудренные белые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Gammex Powder-Free with AMT Antimicrobial Technology»,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«Анселл Хелскеа Юроп Н.В.», Бельгия.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наименование товаров, продекларированных Заявителем в составе первой части заявки, в частности, товара по п.7 «Перчатки хирургические из латекса гевеи, неопудренные, антибактериальные» не соответствует наименованию, указанному в приложеных РУ на указанный товар, что, в свою очередь, противоречит требованиям аукционной документации, а именно пп. 2 п.18.2.3, согласно которой, по мнению представителя Заказчика, участнику закупки необходимо представить в составе первой части заявки наименование медицинского изделия в полном соответствии с наименованием, указанным в регистрационном удостоверении.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наименование поставляемых товаров к техническим и функциональным характеристикам изделий не относится, ввиду чего представление скорректированного наименования, указанного Заказчиком в техническом задании, в составе первой части заявки в соответствии с положениями ст.66 Закона о контрактной системе не требуется, аналогичные положения отражены в п.18.1 информационной карты документации, согласно которым в составе первой части заявки участник закупки представляет исключительно технические, качественные, функциональные характеристики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технической части документации также указано, что Таблица 1 является рекомендуемым образцом для заполнения участником аукциона, при этом участник аукциона вправе предоставить конкретные сведения о товаре в ином виде, что в совокупности с требованиями п.18.1 информационной карты и положениями законодательства о контрактной системе не вменяет участнику обязанность в указании наименований предлагаемых к поставке изделий в соответствии с наименованиями, отраженными в регистрационных удостоверениях.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Комиссия Управления отмечает, что представление действующего регистрационного удостоверения либо его номера в составе второй части заявки на товары, продекларированные к поставке в составе первой части заявки, является достаточным подтверждением факта государственной регистрации медицинского изделия и легальности его обращения на территории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 64 Закона о контрактной системе документация об электронном аукционе не может содержать требования к оформлению и форме заявки на участие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также отмечает, что в целях исключения какого-либо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четкие, исчерпывающие требования.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Наличие же любых равновесных противоречий, возникающих при работе с аукционной документацией, является следствием действий Заказчика, а следовательно, возникшие противоречия должны трактоваться в пользу более слабой стороны правоотношений (участника закупки).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6 ст. 69 Закона о контрактной системе заявка на участие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электронном аукционе признается не соответствующей требованиям, установленным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документацией о таком аукционе, в случае: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п.1, 3 - 5, 7 и 8 ч. 2 ст. 62, ч. 3 и 5 ст. 66 Закона о контрактной системе, несоответствия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указанных документов и информации требованиям, установленным документацией 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таком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ч. 1, ч. 1.1, 2 и 2.1 (при наличии таких требований) ст. 31 Закона 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Ч.7 ст. 69 Закона о контрактной системе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ст. 69 Закона о контрактной системе, не допускается.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действия аукционной комиссии Заказчика в части отказа в допуске Заявителю по основаниям, указанным в протоколе подведения итогов электронного аукциона, нарушают положения ч.7 ст.69 Закона о контрактной системе, что содержит признаки состава административного правонарушения, ответственность за которое предусмотрена ч.2 ст.7.30 Кодекса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13" w:left="807" w:right="783" w:bottom="103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«Профтех» на действия ГБУЗ «ГКБ № 13 ДЗМ» 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Заказчика нарушение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положений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ч.7 ст.69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8" w:line="307" w:lineRule="exact"/>
        <w:ind w:left="0" w:right="20" w:firstLine="740"/>
      </w:pPr>
      <w:r>
        <w:fldChar w:fldCharType="begin"/>
      </w:r>
      <w:r>
        <w:rPr>
          <w:color w:val="000000"/>
        </w:rPr>
        <w:instrText> HYPERLINK "https://zakupki.gov.ru/epz/order/notice/ea44/view/common-info.html?regNumber=0873200009821008767"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Передать материалы дела соответствующему должностному лицу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"https://zakupki.gov.ru/epz/order/notice/ea44/view/common-info.html?regNumber=0873200009821008767"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Московского УФАС России для рассмотрения вопроса о возбуждении дела об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"https://zakupki.gov.ru/epz/order/notice/ea44/view/common-info.html?regNumber=0873200009821008767"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административном правонарушении.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" w:line="298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88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 Сомов</w:t>
      </w:r>
    </w:p>
    <w:p>
      <w:pPr>
        <w:pStyle w:val="Style5"/>
        <w:tabs>
          <w:tab w:leader="none" w:pos="8654" w:val="center"/>
          <w:tab w:leader="none" w:pos="101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П.А. Ступченко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 (доб. 077-186)</w:t>
      </w:r>
    </w:p>
    <w:sectPr>
      <w:type w:val="continuous"/>
      <w:pgSz w:w="11906" w:h="16838"/>
      <w:pgMar w:top="1269" w:left="850" w:right="850" w:bottom="8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