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12" w:line="260" w:lineRule="exact"/>
        <w:ind w:left="5340" w:right="0"/>
      </w:pPr>
      <w:r>
        <w:rPr>
          <w:lang w:val="ru-RU" w:eastAsia="ru-RU" w:bidi="ru-RU"/>
          <w:w w:val="100"/>
          <w:spacing w:val="0"/>
          <w:color w:val="000000"/>
          <w:position w:val="0"/>
        </w:rPr>
        <w:t>ГБУЗ «ГП № 115 ДЗМ»</w:t>
      </w:r>
    </w:p>
    <w:p>
      <w:pPr>
        <w:pStyle w:val="Style5"/>
        <w:widowControl w:val="0"/>
        <w:keepNext w:val="0"/>
        <w:keepLines w:val="0"/>
        <w:shd w:val="clear" w:color="auto" w:fill="auto"/>
        <w:bidi w:val="0"/>
        <w:jc w:val="both"/>
        <w:spacing w:before="0" w:after="346" w:line="317" w:lineRule="exact"/>
        <w:ind w:left="1160" w:right="20" w:firstLine="0"/>
      </w:pPr>
      <w:r>
        <w:rPr>
          <w:lang w:val="ru-RU" w:eastAsia="ru-RU" w:bidi="ru-RU"/>
          <w:w w:val="100"/>
          <w:spacing w:val="0"/>
          <w:color w:val="000000"/>
          <w:position w:val="0"/>
        </w:rPr>
        <w:t>ул. Демьяна Бедного, д. 8, г. Москва, 123308</w:t>
      </w:r>
    </w:p>
    <w:p>
      <w:pPr>
        <w:pStyle w:val="Style5"/>
        <w:widowControl w:val="0"/>
        <w:keepNext w:val="0"/>
        <w:keepLines w:val="0"/>
        <w:shd w:val="clear" w:color="auto" w:fill="auto"/>
        <w:bidi w:val="0"/>
        <w:jc w:val="left"/>
        <w:spacing w:before="0" w:after="312" w:line="260" w:lineRule="exact"/>
        <w:ind w:left="5340" w:right="0"/>
      </w:pPr>
      <w:r>
        <w:rPr>
          <w:lang w:val="ru-RU" w:eastAsia="ru-RU" w:bidi="ru-RU"/>
          <w:w w:val="100"/>
          <w:spacing w:val="0"/>
          <w:color w:val="000000"/>
          <w:position w:val="0"/>
        </w:rPr>
        <w:t>ООО «ИвановоМедТекстиль»</w:t>
      </w:r>
    </w:p>
    <w:p>
      <w:pPr>
        <w:pStyle w:val="Style5"/>
        <w:widowControl w:val="0"/>
        <w:keepNext w:val="0"/>
        <w:keepLines w:val="0"/>
        <w:shd w:val="clear" w:color="auto" w:fill="auto"/>
        <w:bidi w:val="0"/>
        <w:jc w:val="both"/>
        <w:spacing w:before="0" w:after="346" w:line="317" w:lineRule="exact"/>
        <w:ind w:left="1160" w:right="20" w:firstLine="0"/>
      </w:pPr>
      <w:r>
        <w:rPr>
          <w:lang w:val="ru-RU" w:eastAsia="ru-RU" w:bidi="ru-RU"/>
          <w:w w:val="100"/>
          <w:spacing w:val="0"/>
          <w:color w:val="000000"/>
          <w:position w:val="0"/>
        </w:rPr>
        <w:t>ул. Павла Большевикова, д. 27, стр. 9, оф. 108, г. Иваново, 153027</w:t>
      </w:r>
    </w:p>
    <w:p>
      <w:pPr>
        <w:pStyle w:val="Style5"/>
        <w:widowControl w:val="0"/>
        <w:keepNext w:val="0"/>
        <w:keepLines w:val="0"/>
        <w:shd w:val="clear" w:color="auto" w:fill="auto"/>
        <w:bidi w:val="0"/>
        <w:jc w:val="left"/>
        <w:spacing w:before="0" w:after="303" w:line="260" w:lineRule="exact"/>
        <w:ind w:left="5340" w:right="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300" w:line="322" w:lineRule="exact"/>
        <w:ind w:left="5340" w:right="20"/>
      </w:pPr>
      <w:r>
        <w:rPr>
          <w:lang w:val="ru-RU" w:eastAsia="ru-RU" w:bidi="ru-RU"/>
          <w:w w:val="100"/>
          <w:spacing w:val="0"/>
          <w:color w:val="000000"/>
          <w:position w:val="0"/>
        </w:rPr>
        <w:t>ул. Кожевническая, д. 14, стр. 5, г. Москва, 115114,</w:t>
      </w:r>
    </w:p>
    <w:p>
      <w:pPr>
        <w:pStyle w:val="Style7"/>
        <w:tabs>
          <w:tab w:leader="none" w:pos="8943" w:val="right"/>
          <w:tab w:leader="none" w:pos="9140" w:val="left"/>
        </w:tabs>
        <w:widowControl w:val="0"/>
        <w:keepNext w:val="0"/>
        <w:keepLines w:val="0"/>
        <w:shd w:val="clear" w:color="auto" w:fill="auto"/>
        <w:bidi w:val="0"/>
        <w:jc w:val="left"/>
        <w:spacing w:before="0" w:after="0"/>
        <w:ind w:left="340" w:right="300"/>
      </w:pPr>
      <w:r>
        <w:rPr>
          <w:lang w:val="ru-RU" w:eastAsia="ru-RU" w:bidi="ru-RU"/>
          <w:w w:val="100"/>
          <w:spacing w:val="0"/>
          <w:color w:val="000000"/>
          <w:position w:val="0"/>
        </w:rPr>
        <w:t>РЕШЕНИЕ по делу № 077/06/106-18774/2021 о нарушении законодательства о контрактной системе 21.10.2021</w:t>
        <w:tab/>
        <w:t>г.</w:t>
        <w:tab/>
        <w:t>Москва</w:t>
      </w:r>
    </w:p>
    <w:p>
      <w:pPr>
        <w:pStyle w:val="Style5"/>
        <w:tabs>
          <w:tab w:leader="none" w:pos="10223" w:val="right"/>
        </w:tabs>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w:t>
        <w:tab/>
        <w:t>Комиссия</w:t>
      </w:r>
    </w:p>
    <w:p>
      <w:pPr>
        <w:pStyle w:val="Style5"/>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Управления) в составе:</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Членов комиссии:</w:t>
      </w:r>
    </w:p>
    <w:p>
      <w:pPr>
        <w:pStyle w:val="Style5"/>
        <w:tabs>
          <w:tab w:leader="none" w:pos="3711" w:val="left"/>
          <w:tab w:leader="none" w:pos="4897" w:val="left"/>
          <w:tab w:leader="none" w:pos="8943" w:val="right"/>
          <w:tab w:leader="none" w:pos="10223" w:val="right"/>
        </w:tabs>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Специалиста-эксперта</w:t>
        <w:tab/>
        <w:t>отдела</w:t>
        <w:tab/>
        <w:t>обжалования</w:t>
        <w:tab/>
        <w:t>государственных</w:t>
        <w:tab/>
        <w:t>закупок</w:t>
      </w:r>
    </w:p>
    <w:p>
      <w:pPr>
        <w:pStyle w:val="Style5"/>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П.А. Ступченко,</w:t>
      </w:r>
    </w:p>
    <w:p>
      <w:pPr>
        <w:pStyle w:val="Style5"/>
        <w:tabs>
          <w:tab w:leader="none" w:pos="3711" w:val="left"/>
          <w:tab w:leader="none" w:pos="4897" w:val="left"/>
          <w:tab w:leader="none" w:pos="8943" w:val="right"/>
          <w:tab w:leader="none" w:pos="10223" w:val="right"/>
        </w:tabs>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Специалиста-эксперта</w:t>
        <w:tab/>
        <w:t>отдела</w:t>
        <w:tab/>
        <w:t>обжалования</w:t>
        <w:tab/>
        <w:t>государственных</w:t>
        <w:tab/>
        <w:t>закупок</w:t>
      </w:r>
    </w:p>
    <w:p>
      <w:pPr>
        <w:pStyle w:val="Style5"/>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А.А. Матюшенко,</w:t>
      </w:r>
    </w:p>
    <w:p>
      <w:pPr>
        <w:pStyle w:val="Style5"/>
        <w:widowControl w:val="0"/>
        <w:keepNext w:val="0"/>
        <w:keepLines w:val="0"/>
        <w:shd w:val="clear" w:color="auto" w:fill="auto"/>
        <w:bidi w:val="0"/>
        <w:jc w:val="left"/>
        <w:spacing w:before="0" w:after="0" w:line="322"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представитель ГБУЗ «ГП № 115 ДЗМ»: Макова Т.А. (дов. № 201 от 27.11.2020) участвовала в заседании Комиссии Управления посредством конференц-связи,</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в отсутствие представителей ООО «ИвановоМедТекстиль», о времени и порядке заседания Комиссии уведомленных письмом Московского УФАС России от 18.10.2021 № ЕИ/63818/21,</w:t>
      </w:r>
    </w:p>
    <w:p>
      <w:pPr>
        <w:pStyle w:val="Style3"/>
        <w:framePr w:w="1685" w:h="394" w:wrap="around" w:vAnchor="text" w:hAnchor="margin" w:x="385" w:y="203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001917624004</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рассмотрев жалобу ООО «ИвановоМедТекстиль» (далее — Заявитель) на действия ГБУЗ «ГП № 115 ДЗМ» (далее — Заказчик) при проведении электронного аукциона на право заключения государственного контракта на поставку изделий медицинского назначения (перчатки медицинские) для нужд ГБУЗ «ГП № 115 ДЗМ» (Закупка № 0373200581921000063) (далее - электронный аукцион, аукцион)</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 результатам рассмотрения жалобы, рассмотрев представленные документы и сведения, запрашиваемые Московского УФАС России письмом Московского УФАС России от 18.20.2021 № ЕИ/63818/21,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Заявитель обжалует действия Заказчика, выразившиеся в утверждений положений аукционной документации в нарушение законодательства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в техническом задании аукционной документации Заказчиком определены необходимые к поставке товары, а именно: п.1-3 «Перчатки смотровые/процедурные из латекса гевеи, неопудренные, нестерильные», п.4-6 «Перчатки смотровые/процедурные нитриловые, неопудренные, нестерильные», п.7-9 «Перчатки смотровые/процедурные виниловые, неопудренные», п.10,11 «Перчатки хирургические из латекса гевеи, неопудренные», п.12 «Перчатки хирургические из латекса гевеи, неопудренные, антибактериальные», п.13 «Перчатки хирургические из полихлорпрена, неопудренные (для индикации повреждения)», п.14 «Перчатки смотровые/процедурные нитриловые, неопудренные, нестерильные (с внутренним абсорбирующим покрытием, удлиненные)».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доводам жалобы Заказчиком неправомерно объединена в один лот поставка медицинских изделий разных видов номенклатурной классификации медицинских изделий, что противоречит требованиям постановления Правительства Российской Федерации от 19 апреля 2021 г. №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№620).</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п.2 ч.29 ст.34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П.1 постановления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извещением о проведении электронного аукциона начальная (максимальная) цена контракта настоящей закупки составляет 6 172 881,00 руб.</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приложению № 1 к приказу Министерства здравоохранения Российской Федерации от 6 июня 2012 года № 4н «Об утверждении номенклатурной классификации медицинских изделий» (далее - Номенклатурная классификация) номенклатурная классификация медицинских изделий по видам (далее - классификация) содержит числовое обозначение вида медицинского изделия - 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Фиксируется начальное значение 100000 и для каждой последующей записи значение увеличивается на 10.</w:t>
      </w:r>
    </w:p>
    <w:p>
      <w:pPr>
        <w:pStyle w:val="Style5"/>
        <w:widowControl w:val="0"/>
        <w:keepNext w:val="0"/>
        <w:keepLines w:val="0"/>
        <w:shd w:val="clear" w:color="auto" w:fill="auto"/>
        <w:bidi w:val="0"/>
        <w:jc w:val="both"/>
        <w:spacing w:before="0" w:after="0" w:line="322" w:lineRule="exact"/>
        <w:ind w:left="20" w:right="20" w:firstLine="680"/>
        <w:sectPr>
          <w:footnotePr>
            <w:pos w:val="pageBottom"/>
            <w:numFmt w:val="decimal"/>
            <w:numRestart w:val="continuous"/>
          </w:footnotePr>
          <w:type w:val="continuous"/>
          <w:pgSz w:w="11906" w:h="16838"/>
          <w:pgMar w:top="1394" w:left="841" w:right="817" w:bottom="751" w:header="0" w:footer="3" w:gutter="0"/>
          <w:rtlGutter w:val="0"/>
          <w:cols w:space="720"/>
          <w:noEndnote/>
          <w:docGrid w:linePitch="360"/>
        </w:sectPr>
      </w:pPr>
      <w:r>
        <w:rPr>
          <w:lang w:val="ru-RU" w:eastAsia="ru-RU" w:bidi="ru-RU"/>
          <w:w w:val="100"/>
          <w:spacing w:val="0"/>
          <w:color w:val="000000"/>
          <w:position w:val="0"/>
        </w:rPr>
        <w:t>Алгоритм формирования, применяемый для ведения номенклатурной классификации медицинских изделий по видам, представлен на схеме:</w:t>
      </w:r>
    </w:p>
    <w:tbl>
      <w:tblPr>
        <w:tblOverlap w:val="never"/>
        <w:tblLayout w:type="fixed"/>
        <w:jc w:val="center"/>
      </w:tblPr>
      <w:tblGrid>
        <w:gridCol w:w="1435"/>
        <w:gridCol w:w="782"/>
        <w:gridCol w:w="1474"/>
      </w:tblGrid>
      <w:tr>
        <w:trPr>
          <w:trHeight w:val="403" w:hRule="exact"/>
        </w:trPr>
        <w:tc>
          <w:tcPr>
            <w:shd w:val="clear" w:color="auto" w:fill="FFFFFF"/>
            <w:tcBorders>
              <w:left w:val="single" w:sz="4"/>
              <w:top w:val="single" w:sz="4"/>
            </w:tcBorders>
            <w:vAlign w:val="bottom"/>
          </w:tcPr>
          <w:p>
            <w:pPr>
              <w:pStyle w:val="Style5"/>
              <w:framePr w:w="3691"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1"/>
              </w:rPr>
              <w:t>Вид</w:t>
            </w:r>
          </w:p>
        </w:tc>
        <w:tc>
          <w:tcPr>
            <w:shd w:val="clear" w:color="auto" w:fill="FFFFFF"/>
            <w:tcBorders>
              <w:left w:val="single" w:sz="4"/>
              <w:top w:val="single" w:sz="4"/>
            </w:tcBorders>
            <w:vAlign w:val="top"/>
          </w:tcPr>
          <w:p>
            <w:pPr>
              <w:pStyle w:val="Style5"/>
              <w:framePr w:w="3691" w:wrap="notBeside" w:vAnchor="text" w:hAnchor="text" w:xAlign="center" w:y="1"/>
              <w:tabs>
                <w:tab w:leader="hyphen" w:pos="576" w:val="left"/>
              </w:tabs>
              <w:widowControl w:val="0"/>
              <w:keepNext w:val="0"/>
              <w:keepLines w:val="0"/>
              <w:shd w:val="clear" w:color="auto" w:fill="auto"/>
              <w:bidi w:val="0"/>
              <w:jc w:val="both"/>
              <w:spacing w:before="0" w:after="0" w:line="220" w:lineRule="exact"/>
              <w:ind w:left="0" w:right="0" w:firstLine="0"/>
            </w:pPr>
            <w:r>
              <w:rPr>
                <w:rStyle w:val="CharStyle12"/>
                <w:lang w:val="ru-RU" w:eastAsia="ru-RU" w:bidi="ru-RU"/>
              </w:rPr>
              <w:tab/>
            </w:r>
            <w:r>
              <w:rPr>
                <w:rStyle w:val="CharStyle13"/>
              </w:rPr>
              <w:t>*1</w:t>
            </w:r>
          </w:p>
        </w:tc>
        <w:tc>
          <w:tcPr>
            <w:shd w:val="clear" w:color="auto" w:fill="FFFFFF"/>
            <w:tcBorders>
              <w:left w:val="single" w:sz="4"/>
              <w:right w:val="single" w:sz="4"/>
              <w:top w:val="single" w:sz="4"/>
            </w:tcBorders>
            <w:vAlign w:val="bottom"/>
          </w:tcPr>
          <w:p>
            <w:pPr>
              <w:pStyle w:val="Style5"/>
              <w:framePr w:w="3691"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3"/>
              </w:rPr>
              <w:t>Наименование</w:t>
            </w:r>
          </w:p>
        </w:tc>
      </w:tr>
      <w:tr>
        <w:trPr>
          <w:trHeight w:val="230" w:hRule="exact"/>
        </w:trPr>
        <w:tc>
          <w:tcPr>
            <w:shd w:val="clear" w:color="auto" w:fill="FFFFFF"/>
            <w:tcBorders>
              <w:left w:val="single" w:sz="4"/>
            </w:tcBorders>
            <w:vAlign w:val="bottom"/>
          </w:tcPr>
          <w:p>
            <w:pPr>
              <w:pStyle w:val="Style5"/>
              <w:framePr w:w="3691"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1"/>
              </w:rPr>
              <w:t>медицинского</w:t>
            </w:r>
          </w:p>
        </w:tc>
        <w:tc>
          <w:tcPr>
            <w:shd w:val="clear" w:color="auto" w:fill="FFFFFF"/>
            <w:tcBorders>
              <w:left w:val="single" w:sz="4"/>
            </w:tcBorders>
            <w:vAlign w:val="top"/>
          </w:tcPr>
          <w:p>
            <w:pPr>
              <w:framePr w:w="369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5"/>
              <w:framePr w:w="3691"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1"/>
              </w:rPr>
              <w:t>вида</w:t>
            </w:r>
          </w:p>
        </w:tc>
      </w:tr>
      <w:tr>
        <w:trPr>
          <w:trHeight w:val="202" w:hRule="exact"/>
        </w:trPr>
        <w:tc>
          <w:tcPr>
            <w:shd w:val="clear" w:color="auto" w:fill="FFFFFF"/>
            <w:tcBorders>
              <w:left w:val="single" w:sz="4"/>
            </w:tcBorders>
            <w:vAlign w:val="bottom"/>
          </w:tcPr>
          <w:p>
            <w:pPr>
              <w:pStyle w:val="Style5"/>
              <w:framePr w:w="3691"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1"/>
              </w:rPr>
              <w:t>изделия:</w:t>
            </w:r>
          </w:p>
        </w:tc>
        <w:tc>
          <w:tcPr>
            <w:shd w:val="clear" w:color="auto" w:fill="FFFFFF"/>
            <w:tcBorders>
              <w:left w:val="single" w:sz="4"/>
            </w:tcBorders>
            <w:vAlign w:val="top"/>
          </w:tcPr>
          <w:p>
            <w:pPr>
              <w:framePr w:w="369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5"/>
              <w:framePr w:w="3691"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1"/>
              </w:rPr>
              <w:t>медицинского</w:t>
            </w:r>
          </w:p>
        </w:tc>
      </w:tr>
      <w:tr>
        <w:trPr>
          <w:trHeight w:val="283" w:hRule="exact"/>
        </w:trPr>
        <w:tc>
          <w:tcPr>
            <w:shd w:val="clear" w:color="auto" w:fill="FFFFFF"/>
            <w:tcBorders>
              <w:left w:val="single" w:sz="4"/>
              <w:bottom w:val="single" w:sz="4"/>
            </w:tcBorders>
            <w:vAlign w:val="top"/>
          </w:tcPr>
          <w:p>
            <w:pPr>
              <w:pStyle w:val="Style5"/>
              <w:framePr w:w="3691"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4"/>
              </w:rPr>
              <w:t>ХХХХХХ'</w:t>
            </w:r>
          </w:p>
        </w:tc>
        <w:tc>
          <w:tcPr>
            <w:shd w:val="clear" w:color="auto" w:fill="FFFFFF"/>
            <w:tcBorders>
              <w:left w:val="single" w:sz="4"/>
            </w:tcBorders>
            <w:vAlign w:val="top"/>
          </w:tcPr>
          <w:p>
            <w:pPr>
              <w:framePr w:w="3691"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pStyle w:val="Style5"/>
              <w:framePr w:w="3691"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1"/>
              </w:rPr>
              <w:t>изделия</w:t>
            </w:r>
          </w:p>
        </w:tc>
      </w:tr>
    </w:tbl>
    <w:p>
      <w:pPr>
        <w:widowControl w:val="0"/>
        <w:rPr>
          <w:sz w:val="2"/>
          <w:szCs w:val="2"/>
        </w:rPr>
      </w:pPr>
    </w:p>
    <w:p>
      <w:pPr>
        <w:pStyle w:val="Style15"/>
        <w:widowControl w:val="0"/>
        <w:keepNext w:val="0"/>
        <w:keepLines w:val="0"/>
        <w:shd w:val="clear" w:color="auto" w:fill="auto"/>
        <w:bidi w:val="0"/>
        <w:spacing w:before="0" w:after="0"/>
        <w:ind w:left="0" w:right="20" w:firstLine="0"/>
      </w:pPr>
      <w:r>
        <w:rPr>
          <w:rStyle w:val="CharStyle17"/>
        </w:rPr>
        <w:t>Классификационные признаки вида меди</w:t>
        <w:softHyphen/>
        <w:t xml:space="preserve">цинского изделий, указываемые в эависи мости от назначений медицинского </w:t>
      </w:r>
      <w:r>
        <w:rPr>
          <w:rStyle w:val="CharStyle18"/>
        </w:rPr>
        <w:t>изде</w:t>
        <w:softHyphen/>
      </w:r>
      <w:r>
        <w:rPr>
          <w:rStyle w:val="CharStyle17"/>
        </w:rPr>
        <w:t>лия:</w:t>
      </w:r>
    </w:p>
    <w:p>
      <w:pPr>
        <w:pStyle w:val="Style15"/>
        <w:numPr>
          <w:ilvl w:val="0"/>
          <w:numId w:val="1"/>
        </w:numPr>
        <w:widowControl w:val="0"/>
        <w:keepNext w:val="0"/>
        <w:keepLines w:val="0"/>
        <w:shd w:val="clear" w:color="auto" w:fill="auto"/>
        <w:bidi w:val="0"/>
        <w:spacing w:before="0" w:after="0"/>
        <w:ind w:left="0" w:right="0" w:firstLine="0"/>
      </w:pPr>
      <w:r>
        <w:rPr>
          <w:rStyle w:val="CharStyle17"/>
        </w:rPr>
        <w:t xml:space="preserve"> область применения;</w:t>
      </w:r>
    </w:p>
    <w:p>
      <w:pPr>
        <w:pStyle w:val="Style19"/>
        <w:numPr>
          <w:ilvl w:val="0"/>
          <w:numId w:val="1"/>
        </w:numPr>
        <w:widowControl w:val="0"/>
        <w:keepNext w:val="0"/>
        <w:keepLines w:val="0"/>
        <w:shd w:val="clear" w:color="auto" w:fill="auto"/>
        <w:bidi w:val="0"/>
        <w:spacing w:before="0" w:after="0"/>
        <w:ind w:left="0" w:right="0" w:firstLine="0"/>
      </w:pPr>
      <w:r>
        <w:rPr>
          <w:rStyle w:val="CharStyle21"/>
        </w:rPr>
        <w:t xml:space="preserve"> инвдэивность;</w:t>
      </w:r>
    </w:p>
    <w:p>
      <w:pPr>
        <w:pStyle w:val="Style15"/>
        <w:numPr>
          <w:ilvl w:val="0"/>
          <w:numId w:val="1"/>
        </w:numPr>
        <w:widowControl w:val="0"/>
        <w:keepNext w:val="0"/>
        <w:keepLines w:val="0"/>
        <w:shd w:val="clear" w:color="auto" w:fill="auto"/>
        <w:bidi w:val="0"/>
        <w:spacing w:before="0" w:after="0"/>
        <w:ind w:left="0" w:right="0" w:firstLine="0"/>
      </w:pPr>
      <w:r>
        <w:rPr>
          <w:rStyle w:val="CharStyle17"/>
        </w:rPr>
        <w:t xml:space="preserve"> стерильность;</w:t>
      </w:r>
    </w:p>
    <w:p>
      <w:pPr>
        <w:pStyle w:val="Style15"/>
        <w:numPr>
          <w:ilvl w:val="0"/>
          <w:numId w:val="1"/>
        </w:numPr>
        <w:widowControl w:val="0"/>
        <w:keepNext w:val="0"/>
        <w:keepLines w:val="0"/>
        <w:shd w:val="clear" w:color="auto" w:fill="auto"/>
        <w:bidi w:val="0"/>
        <w:spacing w:before="0" w:after="0"/>
        <w:ind w:left="0" w:right="20" w:firstLine="0"/>
      </w:pPr>
      <w:r>
        <w:rPr>
          <w:rStyle w:val="CharStyle17"/>
        </w:rPr>
        <w:t xml:space="preserve"> частота использования (однократного или многократного применений);</w:t>
      </w:r>
    </w:p>
    <w:p>
      <w:pPr>
        <w:pStyle w:val="Style15"/>
        <w:numPr>
          <w:ilvl w:val="0"/>
          <w:numId w:val="1"/>
        </w:numPr>
        <w:widowControl w:val="0"/>
        <w:keepNext w:val="0"/>
        <w:keepLines w:val="0"/>
        <w:shd w:val="clear" w:color="auto" w:fill="auto"/>
        <w:bidi w:val="0"/>
        <w:spacing w:before="0" w:after="0"/>
        <w:ind w:left="0" w:right="0" w:firstLine="0"/>
      </w:pPr>
      <w:r>
        <w:rPr>
          <w:rStyle w:val="CharStyle17"/>
        </w:rPr>
        <w:t xml:space="preserve"> эксплуатационные особенности;</w:t>
      </w:r>
    </w:p>
    <w:p>
      <w:pPr>
        <w:pStyle w:val="Style15"/>
        <w:numPr>
          <w:ilvl w:val="0"/>
          <w:numId w:val="1"/>
        </w:numPr>
        <w:tabs>
          <w:tab w:leader="underscore" w:pos="3811" w:val="left"/>
        </w:tabs>
        <w:widowControl w:val="0"/>
        <w:keepNext w:val="0"/>
        <w:keepLines w:val="0"/>
        <w:shd w:val="clear" w:color="auto" w:fill="auto"/>
        <w:bidi w:val="0"/>
        <w:spacing w:before="0" w:after="0"/>
        <w:ind w:left="0" w:right="0" w:firstLine="0"/>
        <w:sectPr>
          <w:type w:val="continuous"/>
          <w:pgSz w:w="11906" w:h="16838"/>
          <w:pgMar w:top="1201" w:left="1688" w:right="1717" w:bottom="1091" w:header="0" w:footer="3" w:gutter="0"/>
          <w:rtlGutter w:val="0"/>
          <w:cols w:num="2" w:sep="1" w:space="437"/>
          <w:noEndnote/>
          <w:docGrid w:linePitch="360"/>
        </w:sectPr>
      </w:pPr>
      <w:r>
        <w:rPr>
          <w:rStyle w:val="CharStyle22"/>
        </w:rPr>
        <w:t xml:space="preserve"> конструктивна особенности.</w:t>
      </w:r>
      <w:r>
        <w:rPr>
          <w:lang w:val="ru-RU" w:eastAsia="ru-RU" w:bidi="ru-RU"/>
          <w:w w:val="100"/>
          <w:color w:val="000000"/>
          <w:position w:val="0"/>
        </w:rPr>
        <w:tab/>
      </w: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необходимые к поставке товары подразделяются на следующие виды медицинских изделий:</w:t>
      </w:r>
    </w:p>
    <w:p>
      <w:pPr>
        <w:pStyle w:val="Style5"/>
        <w:numPr>
          <w:ilvl w:val="0"/>
          <w:numId w:val="3"/>
        </w:numPr>
        <w:tabs>
          <w:tab w:leader="none" w:pos="1433"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п.1-3 «Перчатки смотровые/процедурные из латекса гевеи, неопудренные, нестерильные» относятся к виду медицинских изделий 122540 «Перчатки смотровые/процедурные из латекса гевеи, неопудренные, нестерильные»;</w:t>
      </w:r>
    </w:p>
    <w:p>
      <w:pPr>
        <w:pStyle w:val="Style5"/>
        <w:numPr>
          <w:ilvl w:val="0"/>
          <w:numId w:val="3"/>
        </w:numPr>
        <w:tabs>
          <w:tab w:leader="none" w:pos="1433"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п.4-6 «Перчатки смотровые/процедурные нитриловые, неопудренные, нестерильные» относятся к виду медицинских изделий 185830 «Перчатки смотровые/процедурные нитриловые, неопудренные, нестерильные»;</w:t>
      </w:r>
    </w:p>
    <w:p>
      <w:pPr>
        <w:pStyle w:val="Style5"/>
        <w:numPr>
          <w:ilvl w:val="0"/>
          <w:numId w:val="3"/>
        </w:numPr>
        <w:tabs>
          <w:tab w:leader="none" w:pos="2015" w:val="right"/>
          <w:tab w:leader="none" w:pos="2198"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п.7-9</w:t>
        <w:tab/>
        <w:t>«Перчатки смотровые/процедурные виниловые, неопудренные»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относятся к виду медицинских изделий 205280 «Перчатки смотровые/проце дурные виниловые, неопудренные»;</w:t>
      </w:r>
    </w:p>
    <w:p>
      <w:pPr>
        <w:pStyle w:val="Style5"/>
        <w:numPr>
          <w:ilvl w:val="0"/>
          <w:numId w:val="3"/>
        </w:numPr>
        <w:tabs>
          <w:tab w:leader="none" w:pos="1433"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п.10,11 «Перчатки хирургические из латекса гевеи, неопудренные» относятся к виду медицинских изделий 122630 «Перчатки хирургические из латекса гевеи, неопудренные»;</w:t>
      </w:r>
    </w:p>
    <w:p>
      <w:pPr>
        <w:pStyle w:val="Style5"/>
        <w:numPr>
          <w:ilvl w:val="0"/>
          <w:numId w:val="3"/>
        </w:numPr>
        <w:tabs>
          <w:tab w:leader="none" w:pos="1433"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п.12 «Перчатки хирургические из латекса гевеи, неопудренные, антибактериальные» относятся к виду медицинских изделий 323740 «Перчатки хирургические из латекса гевеи, неопудренные, антибактериальные»;</w:t>
      </w:r>
    </w:p>
    <w:p>
      <w:pPr>
        <w:pStyle w:val="Style5"/>
        <w:numPr>
          <w:ilvl w:val="0"/>
          <w:numId w:val="3"/>
        </w:numPr>
        <w:tabs>
          <w:tab w:leader="none" w:pos="1433"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п.13 «Перчатки хирургические из полихлорпрена, неопудренные (для индикации повреждения)» относятся к виду медицинских изделий 139310 «Перчатки хирургические из полихлорпрена, неопудренные»;</w:t>
      </w:r>
    </w:p>
    <w:p>
      <w:pPr>
        <w:pStyle w:val="Style5"/>
        <w:numPr>
          <w:ilvl w:val="0"/>
          <w:numId w:val="3"/>
        </w:numPr>
        <w:tabs>
          <w:tab w:leader="none" w:pos="1433"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п.14 «Перчатки смотровые/процедурные нитриловые, неопудренные, нестерильные (с внутренним абсорбирующим покрытием, удлиненные)» относятся к виду медицинских изделий 185830 «Перчатки смотровые/процедурные нитриловые, неопудренные, нестерильные», что Заказчиком как самостоятельный факт не оспаривалось.</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680"/>
        <w:sectPr>
          <w:type w:val="continuous"/>
          <w:pgSz w:w="11906" w:h="16838"/>
          <w:pgMar w:top="1216" w:left="848" w:right="858" w:bottom="1106" w:header="0" w:footer="3" w:gutter="0"/>
          <w:rtlGutter w:val="0"/>
          <w:cols w:space="720"/>
          <w:noEndnote/>
          <w:docGrid w:linePitch="360"/>
        </w:sectPr>
      </w:pPr>
      <w:r>
        <w:rPr>
          <w:lang w:val="ru-RU" w:eastAsia="ru-RU" w:bidi="ru-RU"/>
          <w:w w:val="100"/>
          <w:spacing w:val="0"/>
          <w:color w:val="000000"/>
          <w:position w:val="0"/>
        </w:rPr>
        <w:t>На заседании Комиссии Управления представитель Заказчика пояснил, что техническое задание сформировано на основании потребности Заказчика в получении вида товаров «Перчатки», которые относятся к видовой группе Номенклатурной классификации №2.25 «Перчатки медицинские», ввиду чего, по мнению Заказчика, условия формирования лота спорной закупки соответствует</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требованиям постановления №620.</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Управления отмечает, что согласно Номенклатурной классификации каждый вид медицинского изделия обладает уникальным идентификационным номером записи в формате шестизначного кода, что прямо следует из вышеприведенных положений Номенклатурной классификации. При этом, действительно, Номенклатурная классификация также указывает на группы и подгруппы медицинских изделий, однако постановлением № 620 однозначно определено, что предметом одного контракта (одного лота) не могут быть медицинские изделия различных видов.</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включение в один лот медицинских изделий, находящихся в одной группе или подгруппе Номенклатурной классификации, не соответствует постановлению № 620.</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таких данных Комиссия Управления приходит к выводу о нарушении Заказчиком п.2 ч.29 ст.34 Закона о контрактной системе при объединении в один лот медицинских изделий, относящихся к разным видам Номенклатурной классификации, вместе с этим в действиях Заказчика усматриваются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49"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и положениями Закона о контрактной системе, Комиссия Управления</w:t>
      </w:r>
    </w:p>
    <w:p>
      <w:pPr>
        <w:pStyle w:val="Style9"/>
        <w:widowControl w:val="0"/>
        <w:keepNext/>
        <w:keepLines/>
        <w:shd w:val="clear" w:color="auto" w:fill="auto"/>
        <w:bidi w:val="0"/>
        <w:jc w:val="left"/>
        <w:spacing w:before="0" w:after="299" w:line="260" w:lineRule="exact"/>
        <w:ind w:left="4760" w:right="0" w:firstLine="0"/>
      </w:pPr>
      <w:bookmarkStart w:id="1" w:name="bookmark1"/>
      <w:r>
        <w:rPr>
          <w:lang w:val="ru-RU" w:eastAsia="ru-RU" w:bidi="ru-RU"/>
          <w:w w:val="100"/>
          <w:spacing w:val="0"/>
          <w:color w:val="000000"/>
          <w:position w:val="0"/>
        </w:rPr>
        <w:t>РЕШИЛА:</w:t>
      </w:r>
      <w:bookmarkEnd w:id="1"/>
    </w:p>
    <w:p>
      <w:pPr>
        <w:pStyle w:val="Style5"/>
        <w:numPr>
          <w:ilvl w:val="0"/>
          <w:numId w:val="5"/>
        </w:numPr>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 xml:space="preserve"> Признать жалобу ООО «ИвановоМедТекстиль» на действия ГБУЗ «ГП № 115 ДЗМ» обоснованной.</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Признать в действиях Заказчика нарушение п.2 ч.29 ст.34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5"/>
        </w:numPr>
        <w:widowControl w:val="0"/>
        <w:keepNext w:val="0"/>
        <w:keepLines w:val="0"/>
        <w:shd w:val="clear" w:color="auto" w:fill="auto"/>
        <w:bidi w:val="0"/>
        <w:jc w:val="both"/>
        <w:spacing w:before="0" w:after="296" w:line="317" w:lineRule="exact"/>
        <w:ind w:left="2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7" w:line="32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766"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 Сомов</w:t>
      </w:r>
    </w:p>
    <w:p>
      <w:pPr>
        <w:pStyle w:val="Style5"/>
        <w:tabs>
          <w:tab w:leader="none" w:pos="8300"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П.А. Ступченко</w:t>
      </w:r>
    </w:p>
    <w:p>
      <w:pPr>
        <w:pStyle w:val="Style5"/>
        <w:widowControl w:val="0"/>
        <w:keepNext w:val="0"/>
        <w:keepLines w:val="0"/>
        <w:shd w:val="clear" w:color="auto" w:fill="auto"/>
        <w:bidi w:val="0"/>
        <w:jc w:val="right"/>
        <w:spacing w:before="0" w:after="0" w:line="638" w:lineRule="exact"/>
        <w:ind w:left="0" w:right="20" w:firstLine="0"/>
      </w:pPr>
      <w:r>
        <w:rPr>
          <w:lang w:val="ru-RU" w:eastAsia="ru-RU" w:bidi="ru-RU"/>
          <w:w w:val="100"/>
          <w:spacing w:val="0"/>
          <w:color w:val="000000"/>
          <w:position w:val="0"/>
        </w:rPr>
        <w:t>А.А. Матюшенко</w:t>
      </w:r>
    </w:p>
    <w:p>
      <w:pPr>
        <w:pStyle w:val="Style23"/>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Исп. Матюшенко А.А., 8(495) 784-75-05</w:t>
      </w:r>
    </w:p>
    <w:sectPr>
      <w:type w:val="continuous"/>
      <w:pgSz w:w="11906" w:h="16838"/>
      <w:pgMar w:top="1269" w:left="848" w:right="848" w:bottom="11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single"/>
        <w:strike w:val="0"/>
        <w:smallCaps w:val="0"/>
        <w:sz w:val="22"/>
        <w:szCs w:val="22"/>
        <w:rFonts w:ascii="Segoe UI" w:eastAsia="Segoe UI" w:hAnsi="Segoe UI" w:cs="Segoe UI"/>
        <w:w w:val="100"/>
        <w:spacing w:val="-1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Segoe UI,11 pt,Интервал 0 pt"/>
    <w:basedOn w:val="CharStyle6"/>
    <w:rPr>
      <w:lang w:val="ru-RU" w:eastAsia="ru-RU" w:bidi="ru-RU"/>
      <w:sz w:val="22"/>
      <w:szCs w:val="22"/>
      <w:rFonts w:ascii="Segoe UI" w:eastAsia="Segoe UI" w:hAnsi="Segoe UI" w:cs="Segoe UI"/>
      <w:w w:val="100"/>
      <w:spacing w:val="-10"/>
      <w:color w:val="000000"/>
      <w:position w:val="0"/>
    </w:rPr>
  </w:style>
  <w:style w:type="character" w:customStyle="1" w:styleId="CharStyle12">
    <w:name w:val="Основной текст + 10 pt"/>
    <w:basedOn w:val="CharStyle6"/>
    <w:rPr>
      <w:lang w:val="1024"/>
      <w:sz w:val="20"/>
      <w:szCs w:val="20"/>
      <w:w w:val="100"/>
      <w:spacing w:val="0"/>
      <w:color w:val="000000"/>
      <w:position w:val="0"/>
    </w:rPr>
  </w:style>
  <w:style w:type="character" w:customStyle="1" w:styleId="CharStyle13">
    <w:name w:val="Основной текст + Segoe UI,11 pt,Интервал 0 pt"/>
    <w:basedOn w:val="CharStyle6"/>
    <w:rPr>
      <w:lang w:val="ru-RU" w:eastAsia="ru-RU" w:bidi="ru-RU"/>
      <w:sz w:val="22"/>
      <w:szCs w:val="22"/>
      <w:rFonts w:ascii="Segoe UI" w:eastAsia="Segoe UI" w:hAnsi="Segoe UI" w:cs="Segoe UI"/>
      <w:w w:val="100"/>
      <w:spacing w:val="-10"/>
      <w:color w:val="000000"/>
      <w:position w:val="0"/>
    </w:rPr>
  </w:style>
  <w:style w:type="character" w:customStyle="1" w:styleId="CharStyle14">
    <w:name w:val="Основной текст + Segoe UI,11 pt,Интервал 1 pt"/>
    <w:basedOn w:val="CharStyle6"/>
    <w:rPr>
      <w:lang w:val="ru-RU" w:eastAsia="ru-RU" w:bidi="ru-RU"/>
      <w:sz w:val="22"/>
      <w:szCs w:val="22"/>
      <w:rFonts w:ascii="Segoe UI" w:eastAsia="Segoe UI" w:hAnsi="Segoe UI" w:cs="Segoe UI"/>
      <w:w w:val="100"/>
      <w:spacing w:val="20"/>
      <w:color w:val="000000"/>
      <w:position w:val="0"/>
    </w:rPr>
  </w:style>
  <w:style w:type="character" w:customStyle="1" w:styleId="CharStyle16">
    <w:name w:val="Основной текст (3)_"/>
    <w:basedOn w:val="DefaultParagraphFont"/>
    <w:link w:val="Style15"/>
    <w:rPr>
      <w:b w:val="0"/>
      <w:bCs w:val="0"/>
      <w:i w:val="0"/>
      <w:iCs w:val="0"/>
      <w:u w:val="none"/>
      <w:strike w:val="0"/>
      <w:smallCaps w:val="0"/>
      <w:sz w:val="22"/>
      <w:szCs w:val="22"/>
      <w:rFonts w:ascii="Segoe UI" w:eastAsia="Segoe UI" w:hAnsi="Segoe UI" w:cs="Segoe UI"/>
      <w:spacing w:val="-10"/>
    </w:rPr>
  </w:style>
  <w:style w:type="character" w:customStyle="1" w:styleId="CharStyle17">
    <w:name w:val="Основной текст (3)"/>
    <w:basedOn w:val="CharStyle16"/>
    <w:rPr>
      <w:lang w:val="ru-RU" w:eastAsia="ru-RU" w:bidi="ru-RU"/>
      <w:w w:val="100"/>
      <w:color w:val="000000"/>
      <w:position w:val="0"/>
    </w:rPr>
  </w:style>
  <w:style w:type="character" w:customStyle="1" w:styleId="CharStyle18">
    <w:name w:val="Основной текст (3) + Times New Roman,10 pt,Полужирный,Интервал 0 pt"/>
    <w:basedOn w:val="CharStyle16"/>
    <w:rPr>
      <w:lang w:val="ru-RU" w:eastAsia="ru-RU" w:bidi="ru-RU"/>
      <w:b/>
      <w:bCs/>
      <w:sz w:val="20"/>
      <w:szCs w:val="20"/>
      <w:rFonts w:ascii="Times New Roman" w:eastAsia="Times New Roman" w:hAnsi="Times New Roman" w:cs="Times New Roman"/>
      <w:w w:val="100"/>
      <w:spacing w:val="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21"/>
      <w:szCs w:val="21"/>
      <w:rFonts w:ascii="Segoe UI" w:eastAsia="Segoe UI" w:hAnsi="Segoe UI" w:cs="Segoe UI"/>
      <w:spacing w:val="-10"/>
    </w:rPr>
  </w:style>
  <w:style w:type="character" w:customStyle="1" w:styleId="CharStyle21">
    <w:name w:val="Основной текст (4)"/>
    <w:basedOn w:val="CharStyle20"/>
    <w:rPr>
      <w:lang w:val="ru-RU" w:eastAsia="ru-RU" w:bidi="ru-RU"/>
      <w:w w:val="100"/>
      <w:color w:val="000000"/>
      <w:position w:val="0"/>
    </w:rPr>
  </w:style>
  <w:style w:type="character" w:customStyle="1" w:styleId="CharStyle22">
    <w:name w:val="Основной текст (3)"/>
    <w:basedOn w:val="CharStyle16"/>
    <w:rPr>
      <w:lang w:val="ru-RU" w:eastAsia="ru-RU" w:bidi="ru-RU"/>
      <w:u w:val="single"/>
      <w:w w:val="100"/>
      <w:color w:val="000000"/>
      <w:position w:val="0"/>
    </w:rPr>
  </w:style>
  <w:style w:type="character" w:customStyle="1" w:styleId="CharStyle24">
    <w:name w:val="Основной текст (5)_"/>
    <w:basedOn w:val="DefaultParagraphFont"/>
    <w:link w:val="Style23"/>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ind w:hanging="418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300" w:line="322" w:lineRule="exact"/>
      <w:ind w:firstLine="414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both"/>
      <w:spacing w:line="216" w:lineRule="exact"/>
    </w:pPr>
    <w:rPr>
      <w:b w:val="0"/>
      <w:bCs w:val="0"/>
      <w:i w:val="0"/>
      <w:iCs w:val="0"/>
      <w:u w:val="none"/>
      <w:strike w:val="0"/>
      <w:smallCaps w:val="0"/>
      <w:sz w:val="22"/>
      <w:szCs w:val="22"/>
      <w:rFonts w:ascii="Segoe UI" w:eastAsia="Segoe UI" w:hAnsi="Segoe UI" w:cs="Segoe UI"/>
      <w:spacing w:val="-10"/>
    </w:rPr>
  </w:style>
  <w:style w:type="paragraph" w:customStyle="1" w:styleId="Style19">
    <w:name w:val="Основной текст (4)"/>
    <w:basedOn w:val="Normal"/>
    <w:link w:val="CharStyle20"/>
    <w:pPr>
      <w:widowControl w:val="0"/>
      <w:shd w:val="clear" w:color="auto" w:fill="FFFFFF"/>
      <w:jc w:val="both"/>
      <w:spacing w:line="216" w:lineRule="exact"/>
    </w:pPr>
    <w:rPr>
      <w:b w:val="0"/>
      <w:bCs w:val="0"/>
      <w:i w:val="0"/>
      <w:iCs w:val="0"/>
      <w:u w:val="none"/>
      <w:strike w:val="0"/>
      <w:smallCaps w:val="0"/>
      <w:sz w:val="21"/>
      <w:szCs w:val="21"/>
      <w:rFonts w:ascii="Segoe UI" w:eastAsia="Segoe UI" w:hAnsi="Segoe UI" w:cs="Segoe UI"/>
      <w:spacing w:val="-10"/>
    </w:rPr>
  </w:style>
  <w:style w:type="paragraph" w:customStyle="1" w:styleId="Style23">
    <w:name w:val="Основной текст (5)"/>
    <w:basedOn w:val="Normal"/>
    <w:link w:val="CharStyle24"/>
    <w:pPr>
      <w:widowControl w:val="0"/>
      <w:shd w:val="clear" w:color="auto" w:fill="FFFFFF"/>
      <w:jc w:val="both"/>
      <w:spacing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