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ФГБУ «ЦСП»</w:t>
      </w:r>
    </w:p>
    <w:p>
      <w:pPr>
        <w:pStyle w:val="Style5"/>
        <w:widowControl w:val="0"/>
        <w:keepNext w:val="0"/>
        <w:keepLines w:val="0"/>
        <w:shd w:val="clear" w:color="auto" w:fill="auto"/>
        <w:bidi w:val="0"/>
        <w:jc w:val="left"/>
        <w:spacing w:before="0" w:after="0"/>
        <w:ind w:left="5340" w:right="480" w:firstLine="0"/>
      </w:pPr>
      <w:r>
        <w:rPr>
          <w:lang w:val="ru-RU" w:eastAsia="ru-RU" w:bidi="ru-RU"/>
          <w:w w:val="100"/>
          <w:spacing w:val="0"/>
          <w:color w:val="000000"/>
          <w:position w:val="0"/>
        </w:rPr>
        <w:t>Казакова ул., д. 18, г. Москва, 105064 ООО «ДТК»</w:t>
      </w:r>
    </w:p>
    <w:p>
      <w:pPr>
        <w:pStyle w:val="Style5"/>
        <w:widowControl w:val="0"/>
        <w:keepNext w:val="0"/>
        <w:keepLines w:val="0"/>
        <w:shd w:val="clear" w:color="auto" w:fill="auto"/>
        <w:bidi w:val="0"/>
        <w:jc w:val="left"/>
        <w:spacing w:before="0" w:after="1757"/>
        <w:ind w:left="5340" w:right="0" w:firstLine="0"/>
      </w:pPr>
      <w:r>
        <w:rPr>
          <w:lang w:val="ru-RU" w:eastAsia="ru-RU" w:bidi="ru-RU"/>
          <w:w w:val="100"/>
          <w:spacing w:val="0"/>
          <w:color w:val="000000"/>
          <w:position w:val="0"/>
        </w:rPr>
        <w:t>ОПС № 005, а\я 55, г. Москва, 105005</w:t>
      </w:r>
    </w:p>
    <w:p>
      <w:pPr>
        <w:pStyle w:val="Style7"/>
        <w:tabs>
          <w:tab w:leader="none" w:pos="9141" w:val="right"/>
          <w:tab w:leader="none" w:pos="10197"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№077/06/106-18753/2021 о нарушении законодательства о контрактной системе 21.10.2021</w:t>
        <w:tab/>
        <w:t>г.</w:t>
        <w:tab/>
        <w:t>Москва</w:t>
      </w:r>
    </w:p>
    <w:p>
      <w:pPr>
        <w:pStyle w:val="Style5"/>
        <w:widowControl w:val="0"/>
        <w:keepNext w:val="0"/>
        <w:keepLines w:val="0"/>
        <w:shd w:val="clear" w:color="auto" w:fill="auto"/>
        <w:bidi w:val="0"/>
        <w:jc w:val="both"/>
        <w:spacing w:before="0" w:after="0" w:line="322" w:lineRule="exact"/>
        <w:ind w:left="40" w:right="20" w:firstLine="5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58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260" w:lineRule="exact"/>
        <w:ind w:left="40" w:right="0" w:firstLine="5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6" w:lineRule="exact"/>
        <w:ind w:left="40" w:right="20" w:firstLine="58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widowControl w:val="0"/>
        <w:keepNext w:val="0"/>
        <w:keepLines w:val="0"/>
        <w:shd w:val="clear" w:color="auto" w:fill="auto"/>
        <w:bidi w:val="0"/>
        <w:jc w:val="both"/>
        <w:spacing w:before="0" w:after="0" w:line="326" w:lineRule="exact"/>
        <w:ind w:left="40" w:right="20" w:firstLine="58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left"/>
        <w:spacing w:before="0" w:after="0" w:line="326" w:lineRule="exact"/>
        <w:ind w:left="40" w:right="20" w:firstLine="5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ФГБУ «ЦСП»: Каменнова В.В., Хотова С.М., в отсутствие представителей ООО «ДТК»</w:t>
      </w:r>
      <w:r>
        <w:rPr>
          <w:rStyle w:val="CharStyle9"/>
        </w:rPr>
        <w:t xml:space="preserve">, </w:t>
      </w:r>
      <w:r>
        <w:rPr>
          <w:lang w:val="ru-RU" w:eastAsia="ru-RU" w:bidi="ru-RU"/>
          <w:w w:val="100"/>
          <w:spacing w:val="0"/>
          <w:color w:val="000000"/>
          <w:position w:val="0"/>
        </w:rPr>
        <w:t>о времени и порядке заседания Комиссии Управления уведомлены надлежащим образом письмом Московского УФАС России исх. №ЕИ/63688/21 от 18.10.2021,</w:t>
      </w:r>
    </w:p>
    <w:p>
      <w:pPr>
        <w:pStyle w:val="Style3"/>
        <w:framePr w:w="1685" w:h="394" w:wrap="around" w:vAnchor="text" w:hAnchor="margin" w:x="385" w:y="282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001551837534</w:t>
      </w:r>
    </w:p>
    <w:p>
      <w:pPr>
        <w:pStyle w:val="Style5"/>
        <w:widowControl w:val="0"/>
        <w:keepNext w:val="0"/>
        <w:keepLines w:val="0"/>
        <w:shd w:val="clear" w:color="auto" w:fill="auto"/>
        <w:bidi w:val="0"/>
        <w:jc w:val="both"/>
        <w:spacing w:before="0" w:after="0" w:line="326" w:lineRule="exact"/>
        <w:ind w:left="40" w:right="20" w:firstLine="580"/>
      </w:pPr>
      <w:r>
        <w:rPr>
          <w:lang w:val="ru-RU" w:eastAsia="ru-RU" w:bidi="ru-RU"/>
          <w:w w:val="100"/>
          <w:spacing w:val="0"/>
          <w:color w:val="000000"/>
          <w:position w:val="0"/>
        </w:rPr>
        <w:t>рассмотрев жалобу ООО «ДТК» (далее — Заявитель) на действия ФГБУ «ЦСП» (далее — Заказчик) при проведении запроса предложений в электронной форме на право заключения государственного контракта на поставку спортивной экипировки общего назначения для членов спортивных сборных команд Российской Федерации. Москва (Сн</w:t>
      </w:r>
      <w:r>
        <w:rPr>
          <w:rStyle w:val="CharStyle10"/>
        </w:rPr>
        <w:t>ИЦ</w:t>
      </w:r>
      <w:r>
        <w:rPr>
          <w:lang w:val="ru-RU" w:eastAsia="ru-RU" w:bidi="ru-RU"/>
          <w:w w:val="100"/>
          <w:spacing w:val="0"/>
          <w:color w:val="000000"/>
          <w:position w:val="0"/>
        </w:rPr>
        <w:t>) (Закупка № 0373100104321000054) (далее - запрос предложений) в соответствии с Федеральным законом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Федеральный закон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11"/>
        <w:widowControl w:val="0"/>
        <w:keepNext/>
        <w:keepLines/>
        <w:shd w:val="clear" w:color="auto" w:fill="auto"/>
        <w:bidi w:val="0"/>
        <w:spacing w:before="0" w:after="308"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запроса предложений.</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исх. №ЕИ/63688/21 от 18.10.2021.</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Заявитель в жалобе указывает на установление в документации неправомерного порядка оценки заявок участников закупки по показателю «Опыт участника по успешной поставке товара, выполнению работ, оказанию услуг связанных с предметом контракта (количество контрактов)» нестоимостного критерия оценки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п.7 ч.6 ст.83.1 Закона о контрактной системе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в том числе, критерии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5"/>
        <w:numPr>
          <w:ilvl w:val="0"/>
          <w:numId w:val="1"/>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цена контракта;</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документацией оценка заявок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документации Заказчиком установлены следующие положения порядка оценки заявок по показателю «Опыт участника по успешной поставке товара, выполнению работ, оказанию услуг связанных с предметом контракта (количество контрактов)» нестоимостного критерия оценки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Правилами, в том числе с пп. «б» п. 27, предметом оценки по данному показателю является опыт участника закупки по успешной поставке товара в соответствии с предметом контракта (далее по тексту - поставка товара) выраженный в количестве исполненных контрактов за период с 2017 года по дату начала подачи заявок. При этом стоимость каждого ранее исполненного контракта (договора) должна быть не менее 10% от начальной максимальной цены контракта. Контракты (договоры), заключенные до 01.01.2017, приниматься к оценке не будут. Под успешным опытом поставки товара, выраженным в количестве контрактов, понимается исполнение контрактов (договоров) в период с 01.01.2017 по дату начала подачи заявок без нарушения сроков, иных условий контракта по вине исполнителя.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Подтверждением опыта участника запроса предложений в электронной форме об успешной поставке товара в соответствии с предметом контракта («Поставка спортивной экипировки общего назначения для членов спортивных сборных команд Российской Федерации») является предоставление участником закупки в составе заявки на участие в запросе предложений в электронной форме, Таблицы № 2 с информацией об исполненных контрактах (договорах), включая реестровый номер контракта, который размещается Федеральным казначейством в единой информационной системе в сфере закупок, </w:t>
      </w:r>
      <w:r>
        <w:rPr>
          <w:rStyle w:val="CharStyle13"/>
        </w:rPr>
        <w:t xml:space="preserve">которые заключены и исполнены в полном объеме в соответствии с Федеральным законом № 44-ФЗ </w:t>
      </w:r>
      <w:r>
        <w:rPr>
          <w:lang w:val="ru-RU" w:eastAsia="ru-RU" w:bidi="ru-RU"/>
          <w:w w:val="100"/>
          <w:spacing w:val="0"/>
          <w:color w:val="000000"/>
          <w:position w:val="0"/>
        </w:rPr>
        <w:t>в период с 01.01.2017 по дату начала подачи заявок (при этом стоимость каждого ранее исполненного контракта (договора) должна быть не менее 10% от рассчитанной начальной (максимальной) цены контракта к настоящему запросу предложений)...».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 мнению Заявителя, утвержденный Заказчиком порядок оценки по показателю «Опыт участника по успешной поставке товара, выполнению работ, оказанию услуг связанных с предметом контракта (количество контрактов)» является неправомерным в части подтверждения сведений о наличии опыта посредством представления исключительно государственных контрактов (договоров), заключенных в рамках Закона о контрактной системе, поскольку данный опыт не свидетельствует о большем профессионализме лица по сравнению с тем, кто выполнил аналогичные работы в рамках гражданско-правовых отношений в соответствии с Федеральным законом от 18.07.2011 № 223-ФЗ «О закупках товаров, работ, услуг отдельными видами юридических лиц».</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согласно критериям оценки заявок, подтверждением опыта участника запроса предложений в электронной форме об успешной поставке товара в соответствии с предметом контракта является предоставление участником закупки в составе заявки на участие в запросе предложений в электронной форме, Таблицы №2 с информацией об исполненных контрактах (договорах), включая реестровый номер контракта, который размещается Федеральным казначейством в единой информационной системе в сфере закупок, которые заключены и исполнены в полном объеме в соответствии с Законом о контрактной системе, поскольку проведение закупочных процедур, связанных с обеспечением сборных команд Российской Федерации спортивной экипировкой, проводится исключительно в рамках Закона о контрактной системе в связи с подведомственностью сборных команд бюджетным учреждениям.</w:t>
      </w:r>
    </w:p>
    <w:p>
      <w:pPr>
        <w:pStyle w:val="Style14"/>
        <w:widowControl w:val="0"/>
        <w:keepNext w:val="0"/>
        <w:keepLines w:val="0"/>
        <w:shd w:val="clear" w:color="auto" w:fill="auto"/>
        <w:bidi w:val="0"/>
        <w:spacing w:before="0" w:after="0"/>
        <w:ind w:left="20" w:right="20"/>
      </w:pPr>
      <w:r>
        <w:rPr>
          <w:rStyle w:val="CharStyle16"/>
          <w:i w:val="0"/>
          <w:iCs w:val="0"/>
        </w:rPr>
        <w:t xml:space="preserve">Комиссия Управления отмечает, что согласно ч.3 ст.35 Федерального закона от 04.12.2007 № 329-ФЗ «О физической культуре и спорте в Российской Федерации» </w:t>
      </w:r>
      <w:r>
        <w:rPr>
          <w:lang w:val="ru-RU" w:eastAsia="ru-RU" w:bidi="ru-RU"/>
          <w:w w:val="100"/>
          <w:spacing w:val="0"/>
          <w:color w:val="000000"/>
          <w:position w:val="0"/>
        </w:rPr>
        <w:t>материально-техническое обеспечение, в том числе обеспечение спортивной экипировкой,</w:t>
      </w:r>
      <w:r>
        <w:rPr>
          <w:rStyle w:val="CharStyle16"/>
          <w:i w:val="0"/>
          <w:iCs w:val="0"/>
        </w:rPr>
        <w:t xml:space="preserve"> научно-методическое, медико-биологическое, антидопинговое </w:t>
      </w:r>
      <w:r>
        <w:rPr>
          <w:lang w:val="ru-RU" w:eastAsia="ru-RU" w:bidi="ru-RU"/>
          <w:w w:val="100"/>
          <w:spacing w:val="0"/>
          <w:color w:val="000000"/>
          <w:position w:val="0"/>
        </w:rPr>
        <w:t>обеспечение спортивных сборных команд Российской Федерации за счет средств федерального бюджета осуществляются в порядке, установленном уполномоченным Правительством Российской Федерации федеральным органом исполнительной власти.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 приказом Минспорттуризма РФ от 27.05.2010 № 525 (ред. от 11.07.2011) «Об утверждении Порядка материально-технического обеспечения, в том числе обеспечения спортивной экипировкой, научно-методического и антидопингового обеспечения спортивных сборных команд Российской Федерации за счет средств федерального бюджета» утвержден порядок материально-технического обеспечения, в том числе обеспечения спортивной экипировкой, научно</w:t>
        <w:softHyphen/>
        <w:t>методического и антидопингового обеспечения спортивных сборных команд Российской Федерации за счет средств федерального бюджета (далее — порядок).</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 1.3 Порядка определено, что финансовое обеспечение расходов на материально-техническое обеспечение, в том числе обеспечение спортивной экипировкой, спортивным оборудованием и инвентарем, научно-методическое и антидопинговое обеспечение спортивных сборных команд предусмотрено за счет бюджетных ассигнований, утвержденных Минспорттуризму России на эти цели в федеральном законе о федеральном бюджете на текущий финансовый год и плановый период.</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п.1.4 порядка Минспорттуризм России как главный распорядитель средств доводит лимиты бюджетных обязательств на соответствующий финансовый период до подведомственного федерального учреждения «Центр спортивной подготовки сборных команд России», Заказчиком по настоящей закупке, непосредственно осуществляющего материально-техническое обеспечение, в том числе обеспечение спортивной экипировкой, спортивным оборудованием и инвентарем, научно-методическое обеспечение спортивных сборных команд.</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 1.5 порядка указано, что ФГУ «ЦСП» (Заказчик) в соответствии с доведенными лимитами бюджетных обязательств на соответствующий финансовый период осуществляет в установленном законодательством Российской Федерации порядке размещение заказов на поставку спортивного оборудования и инвентаря, спортивной экипировки, на выполнение работ и оказание услуг по научно</w:t>
        <w:softHyphen/>
        <w:t>методическому обеспечению спортивных сборных команд и заключает соответствующие государственные контракты.</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Кроме того Комиссия Управления отмечает, что согласно сведениям из Единой информационной системе в сфере закупок Заказчик осуществляет свою деятельность исключительно в рамках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с учетом положений Федерального закона от 04.12.2007 № 329-ФЗ «О физической культуре и спорте в Российской Федерации», Порядка, а также с учетом того факта, что единственным Заказчиком по указанному объекту закупки может выступать исключительно ФГУ «ЦСП», являющийся Заказчиком по настоящей закупки, установленное Заказчиком требование о принятии к оценке контрактов, заключенных исключительно в рамках Закона о контрактной системе в полной мере отражают требования, установленные законодателем.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в силу ч.9 ст.105 Закона о контрактной системе обязанность доказывания нарушения Заказчиком своих прав и законных интересов лежит на подателе жалобы, однако в ходе заседания Комиссии Управления, а так же в составе жалобы Заявителем не представлено документов и сведений, свидетельствующих о нарушении Заказчиком норм действующего законодательства, а именно, Заявителем не представлено документов и сведений однозначно свидетельствующих о том, что установленный порядок оценки является неправомерным, не позволяет выявить наилучшее предложение в отношении условий исполнения контракта при проведении закупки, оставляет оценку заявок на субъективное усмотрение комиссии Заказчика или каким-либо иным образом нарушает требования Закона о контрактной системе, ввиду чего у</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Комиссии Управления отсутствуют правовые основания для признания Заказчика нарушившим требования Закона о контрактной системе.</w:t>
      </w:r>
    </w:p>
    <w:p>
      <w:pPr>
        <w:pStyle w:val="Style5"/>
        <w:widowControl w:val="0"/>
        <w:keepNext w:val="0"/>
        <w:keepLines w:val="0"/>
        <w:shd w:val="clear" w:color="auto" w:fill="auto"/>
        <w:bidi w:val="0"/>
        <w:jc w:val="left"/>
        <w:spacing w:before="0" w:after="0" w:line="312" w:lineRule="exact"/>
        <w:ind w:left="20" w:right="20" w:firstLine="700"/>
      </w:pPr>
      <w:r>
        <w:rPr>
          <w:lang w:val="ru-RU" w:eastAsia="ru-RU" w:bidi="ru-RU"/>
          <w:w w:val="100"/>
          <w:spacing w:val="0"/>
          <w:color w:val="000000"/>
          <w:position w:val="0"/>
        </w:rPr>
        <w:t>Таким образом, Комиссия Управления приходит к выводу, что данный довод Заявителя не нашел своего подтверждения и является необоснованным.</w:t>
      </w:r>
    </w:p>
    <w:p>
      <w:pPr>
        <w:pStyle w:val="Style5"/>
        <w:widowControl w:val="0"/>
        <w:keepNext w:val="0"/>
        <w:keepLines w:val="0"/>
        <w:shd w:val="clear" w:color="auto" w:fill="auto"/>
        <w:bidi w:val="0"/>
        <w:jc w:val="left"/>
        <w:spacing w:before="0" w:after="342" w:line="31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1"/>
        <w:widowControl w:val="0"/>
        <w:keepNext/>
        <w:keepLines/>
        <w:shd w:val="clear" w:color="auto" w:fill="auto"/>
        <w:bidi w:val="0"/>
        <w:jc w:val="left"/>
        <w:spacing w:before="0" w:after="352" w:line="260" w:lineRule="exact"/>
        <w:ind w:left="452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line="260" w:lineRule="exact"/>
        <w:ind w:left="20" w:right="0" w:firstLine="540"/>
      </w:pPr>
      <w:r>
        <w:rPr>
          <w:lang w:val="ru-RU" w:eastAsia="ru-RU" w:bidi="ru-RU"/>
          <w:w w:val="100"/>
          <w:spacing w:val="0"/>
          <w:color w:val="000000"/>
          <w:position w:val="0"/>
        </w:rPr>
        <w:t xml:space="preserve"> Признать жалобу ООО «ДТК» на действия ФГБУ «ЦСП» необоснованной.</w:t>
      </w:r>
    </w:p>
    <w:p>
      <w:pPr>
        <w:pStyle w:val="Style5"/>
        <w:numPr>
          <w:ilvl w:val="0"/>
          <w:numId w:val="3"/>
        </w:numPr>
        <w:widowControl w:val="0"/>
        <w:keepNext w:val="0"/>
        <w:keepLines w:val="0"/>
        <w:shd w:val="clear" w:color="auto" w:fill="auto"/>
        <w:bidi w:val="0"/>
        <w:jc w:val="both"/>
        <w:spacing w:before="0" w:after="312" w:line="322" w:lineRule="exact"/>
        <w:ind w:left="20" w:right="20" w:firstLine="54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исх. №ЕИ/63688/21 от 18.10.2021.</w:t>
      </w:r>
    </w:p>
    <w:p>
      <w:pPr>
        <w:pStyle w:val="Style5"/>
        <w:widowControl w:val="0"/>
        <w:keepNext w:val="0"/>
        <w:keepLines w:val="0"/>
        <w:shd w:val="clear" w:color="auto" w:fill="auto"/>
        <w:bidi w:val="0"/>
        <w:jc w:val="both"/>
        <w:spacing w:before="0" w:after="307" w:line="307" w:lineRule="exact"/>
        <w:ind w:left="20" w:right="20" w:firstLine="5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10105" w:val="right"/>
          <w:tab w:leader="none" w:pos="10114" w:val="right"/>
        </w:tabs>
        <w:widowControl w:val="0"/>
        <w:keepNext w:val="0"/>
        <w:keepLines w:val="0"/>
        <w:shd w:val="clear" w:color="auto" w:fill="auto"/>
        <w:bidi w:val="0"/>
        <w:jc w:val="both"/>
        <w:spacing w:before="0" w:after="0" w:line="749" w:lineRule="exact"/>
        <w:ind w:left="2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8938" w:val="right"/>
          <w:tab w:leader="none" w:pos="10105" w:val="right"/>
        </w:tabs>
        <w:widowControl w:val="0"/>
        <w:keepNext w:val="0"/>
        <w:keepLines w:val="0"/>
        <w:shd w:val="clear" w:color="auto" w:fill="auto"/>
        <w:bidi w:val="0"/>
        <w:jc w:val="both"/>
        <w:spacing w:before="0" w:after="0" w:line="749" w:lineRule="exact"/>
        <w:ind w:left="20" w:right="0" w:firstLine="0"/>
      </w:pPr>
      <w:r>
        <w:rPr>
          <w:lang w:val="ru-RU" w:eastAsia="ru-RU" w:bidi="ru-RU"/>
          <w:w w:val="100"/>
          <w:spacing w:val="0"/>
          <w:color w:val="000000"/>
          <w:position w:val="0"/>
        </w:rPr>
        <w:t>Члены Комиссии:</w:t>
        <w:tab/>
        <w:t>В.А.</w:t>
        <w:tab/>
        <w:t>Матвеев</w:t>
      </w:r>
    </w:p>
    <w:p>
      <w:pPr>
        <w:pStyle w:val="Style5"/>
        <w:widowControl w:val="0"/>
        <w:keepNext w:val="0"/>
        <w:keepLines w:val="0"/>
        <w:shd w:val="clear" w:color="auto" w:fill="auto"/>
        <w:bidi w:val="0"/>
        <w:jc w:val="right"/>
        <w:spacing w:before="0" w:after="5787" w:line="260" w:lineRule="exact"/>
        <w:ind w:left="0" w:right="20" w:firstLine="0"/>
      </w:pPr>
      <w:r>
        <w:rPr>
          <w:lang w:val="ru-RU" w:eastAsia="ru-RU" w:bidi="ru-RU"/>
          <w:w w:val="100"/>
          <w:spacing w:val="0"/>
          <w:color w:val="000000"/>
          <w:position w:val="0"/>
        </w:rPr>
        <w:t>Е.О. Сгибнев</w:t>
      </w:r>
    </w:p>
    <w:p>
      <w:pPr>
        <w:pStyle w:val="Style17"/>
        <w:widowControl w:val="0"/>
        <w:keepNext w:val="0"/>
        <w:keepLines w:val="0"/>
        <w:shd w:val="clear" w:color="auto" w:fill="auto"/>
        <w:bidi w:val="0"/>
        <w:jc w:val="left"/>
        <w:spacing w:before="0" w:after="0"/>
        <w:ind w:left="20" w:right="6700" w:firstLine="0"/>
      </w:pPr>
      <w:r>
        <w:rPr>
          <w:lang w:val="ru-RU" w:eastAsia="ru-RU" w:bidi="ru-RU"/>
          <w:w w:val="100"/>
          <w:spacing w:val="0"/>
          <w:color w:val="000000"/>
          <w:position w:val="0"/>
        </w:rPr>
        <w:t>Исп. Матвеев Владислав Александрович Тел. 8-495-784-75-05</w:t>
      </w:r>
    </w:p>
    <w:sectPr>
      <w:footnotePr>
        <w:pos w:val="pageBottom"/>
        <w:numFmt w:val="decimal"/>
        <w:numRestart w:val="continuous"/>
      </w:footnotePr>
      <w:type w:val="continuous"/>
      <w:pgSz w:w="11906" w:h="16838"/>
      <w:pgMar w:top="1113" w:left="841" w:right="817"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w w:val="100"/>
      <w:spacing w:val="0"/>
      <w:color w:val="000000"/>
      <w:position w:val="0"/>
    </w:rPr>
  </w:style>
  <w:style w:type="character" w:customStyle="1" w:styleId="CharStyle10">
    <w:name w:val="Основной текст"/>
    <w:basedOn w:val="CharStyle6"/>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 Полужирный"/>
    <w:basedOn w:val="CharStyle6"/>
    <w:rPr>
      <w:lang w:val="ru-RU" w:eastAsia="ru-RU" w:bidi="ru-RU"/>
      <w:b/>
      <w:bCs/>
      <w:w w:val="100"/>
      <w:spacing w:val="0"/>
      <w:color w:val="000000"/>
      <w:position w:val="0"/>
    </w:rPr>
  </w:style>
  <w:style w:type="character" w:customStyle="1" w:styleId="CharStyle15">
    <w:name w:val="Основной текст (3)_"/>
    <w:basedOn w:val="DefaultParagraphFont"/>
    <w:link w:val="Style14"/>
    <w:rPr>
      <w:b w:val="0"/>
      <w:bCs w:val="0"/>
      <w:i/>
      <w:iCs/>
      <w:u w:val="none"/>
      <w:strike w:val="0"/>
      <w:smallCaps w:val="0"/>
      <w:sz w:val="26"/>
      <w:szCs w:val="26"/>
      <w:rFonts w:ascii="Times New Roman" w:eastAsia="Times New Roman" w:hAnsi="Times New Roman" w:cs="Times New Roman"/>
    </w:rPr>
  </w:style>
  <w:style w:type="character" w:customStyle="1" w:styleId="CharStyle16">
    <w:name w:val="Основной текст (3) + Не курсив"/>
    <w:basedOn w:val="CharStyle15"/>
    <w:rPr>
      <w:lang w:val="ru-RU" w:eastAsia="ru-RU" w:bidi="ru-RU"/>
      <w:i/>
      <w:iCs/>
      <w:w w:val="100"/>
      <w:spacing w:val="0"/>
      <w:color w:val="000000"/>
      <w:position w:val="0"/>
    </w:rPr>
  </w:style>
  <w:style w:type="character" w:customStyle="1" w:styleId="CharStyle18">
    <w:name w:val="Основной текст (4)_"/>
    <w:basedOn w:val="DefaultParagraphFont"/>
    <w:link w:val="Style17"/>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500" w:line="322" w:lineRule="exact"/>
      <w:ind w:firstLine="4560"/>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line="322"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588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