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4"/>
        <w:ind w:left="534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Московско-Окское территориальное управление Росрыболовства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5" w:line="278" w:lineRule="exact"/>
        <w:ind w:left="534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Варшавское ш., д. 39а, г. Москва, 117105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6" w:line="260" w:lineRule="exact"/>
        <w:ind w:left="53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«ЭЙТУБИ»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522" w:line="274" w:lineRule="exact"/>
        <w:ind w:left="5340" w:right="5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Менделеевская, д. 1, оф. 218Б, г. Тула, Тульская обл., 300041</w:t>
      </w:r>
    </w:p>
    <w:p>
      <w:pPr>
        <w:pStyle w:val="Style7"/>
        <w:tabs>
          <w:tab w:leader="none" w:pos="899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43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№077/06/106-18758/2021 о нарушении Законодательства об осуществлении закупок 21.10.2021</w:t>
        <w:tab/>
        <w:t>г. 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65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 xml:space="preserve">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«ЭЙТУБИ», Московско-Окского территориального управления Росрыболовства, о времени и порядке заседания Комиссии уведомленных письмом Московского УФАС России исх. № ЕИ/63704/21 от 18.10.2021,</w:t>
      </w:r>
    </w:p>
    <w:p>
      <w:pPr>
        <w:pStyle w:val="Style3"/>
        <w:framePr w:w="1685" w:h="394" w:wrap="around" w:vAnchor="text" w:hAnchor="margin" w:x="375" w:y="282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000719673798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«ЭЙТУБИ» (далее - Заявитель) на действия Московско-Окского территориального управления Росрыболовства (далее — Заказчик) при проведении электронного аукциона на право заключения государственного контракта на поставку МФУ (Закупка № 0173100002821000124)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в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соответствии с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jc w:val="left"/>
        <w:spacing w:before="0" w:after="0"/>
        <w:ind w:left="44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указанного электронного аукциона.</w:t>
      </w:r>
    </w:p>
    <w:p>
      <w:pPr>
        <w:pStyle w:val="Style5"/>
        <w:tabs>
          <w:tab w:leader="none" w:pos="4243" w:val="center"/>
          <w:tab w:leader="none" w:pos="6298" w:val="right"/>
          <w:tab w:leader="none" w:pos="7565" w:val="center"/>
          <w:tab w:leader="none" w:pos="1017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Заказчиком не в полном объеме представлены документы и сведения, запрашиваемые письмом Московского УФАС России № ЕИ/63704/21 от 18.10.2021, а именно отсутствуют заверенные копии положения (иного акта), устанавливающего полномочия и обязанности членов Комиссии, действующей при проведении закупки, а также их паспортные данные, что имеет признаки состава административного правонарушения предусмотренного ч.1</w:t>
        <w:tab/>
        <w:t>ст.19.7.2</w:t>
        <w:tab/>
        <w:t>Кодекса</w:t>
        <w:tab/>
        <w:t>Российской</w:t>
        <w:tab/>
        <w:t>Федерации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аукционной комиссии Заказчика, выразившиеся в отказе в допуске Заявителю к участию в вышеуказанном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рассмотрения заявок на участие в электронном аукционе от 13.10.2021 №0173100002821000124-1 Заявителю (номер заявки 21) отказано в допуске к участию в аукционе на следующем основании: «на основании п. 2. ч. 4 ст. 67 Закона 44 ФЗ (Участник указал характеристику не соответствующую требованиям Заказчика, а именно характеристику «Скорость копирования». Заказчику требуется от 40 стр/мин, а участник указал 38 стр/мин.)».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ст.33 Закона о контрактной системе, в том числе обоснование начальной (максимальной) цены контракта.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п.2 ч.1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ч.3-6 ст.66 Закона о контрактной системе и инструкцию по ее заполнению.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 1 ст.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 требуемым к поставке, в частности ^Многофункциональное устройство (МФУ): Скорость копирования: от 40 стр/мин (ч/б А4) (характеристика обусловлена боль</w:t>
      </w:r>
      <w:r>
        <w:rPr>
          <w:rStyle w:val="CharStyle11"/>
        </w:rPr>
        <w:t>ши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 объемом делопроизводства Заказчика)».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предоставлению сведений в составе заявки (далее - Инструкция): «В «ОПИСАНИИ ОБЪЕКТА ЗАКУПКИ» формулировка: «до», «не более», «не выше» - означает «меньше или равно»; формулировка: «от», «не менее», «не ниже» - означает «больше или равно»».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ч.3 ст.66 Закона о контрактной системе первая часть заявки на участие в электронном аукционе, за исключением случая, предусмотренного ч.3.1 ст. 66 Закона о контрактной системе, должна содержать: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</w:t>
        <w:softHyphen/>
        <w:t>аппаратных средств электронной площадки);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страны происхождения товара;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ч. 3 ст.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в составе первой части заявки Заявителя выражено согласие на поставку товаров на условиях аукционной документацией, а также представлены сведения о поставляемых товарах, в частности: «Многофункциональное устройство (МФУ): Скорость копирования: 38 стр/мин (ч/б А4) (отсутствует в КТРУ, согласно КТРУ 26.20.18.000-00000069 Указание дополнительных характеристик запрещено)»., что противоречит требованиям техническому заданию аукционной документации, в том числе положениям инструкции по заполнению заявки.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обоснование своих доводов Заявитель указывает на то, что аукционная документация сформирована в нарушение положений Закона о контрактной системе, в частности, что Заказчиком неправомерно сформированы требования к поставляемым товарам.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указанный довод не может быть рассмотрен Комиссией Управления при рассмотрении жалобы на действия аукционной комиссии Заказчика, так как обжалование положений аукционной документации возможно согласно ч.4 ст.105 Закона о контрактной системе до окончания срока подачи заявок на участие в электронном аукционе, а не на этапе их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установленные сроки Заявитель не воспользовался своим правом и не обжаловал положения аукционной документации, а также не подавал Заказчику запрос о даче разъяснений положений аукционной документации в соответствии с ч.3 ст.65 Закона о контрактной системе, что указывает на то, что, выражая свое согласие на поставку товаров на условиях, установленных аукционной документацией при подаче заявки на участие в электронном аукционе, Заявитель был согласен со всеми установленными Заказчиком требованиями.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предложение Заявителя не соответствует требованиям аукционной документации и Закону о контрактной системе, поскольку участником закупки указано значение, не соответствующее требованиями аукционной документации 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у Комиссии Управления отсутствуют правовые основания для признания аукционной комиссии Заказчика нарушившей требования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Ч.4 ст. 67 Закона о контрактной системе установлено, что участник электронного аукциона не допускается к участию в нем в случае: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информации, предусмотренной ч.3 ст. 66 Закона о контрактной системе, или предоставления недостоверной информации;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информации, предусмотренной ч.3 ст. 66 Закона о контрактной системе, требованиям документации о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Заказчика имелись основания для отказа в допуске Заявителю к участию в аукционе, и решение аукционной комиссии Заказчика в части отказа в допуске Заявителю к участию в аукционе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0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75" w:left="848" w:right="824" w:bottom="103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 Законом о контрактной системе, Комиссия Управления,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232" w:line="260" w:lineRule="exact"/>
        <w:ind w:left="46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«ЭЙТУБИ» на действия аукционной комиссии Московско-Окского территориального управления Росрыболовства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Снять ограничения, наложенные на определение поставщика (подрядчика, исполнителя) письмом Московского УФАС России (исх.№ ЕИ/63704/21 от 18.10.2021).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93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7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5"/>
        <w:framePr w:w="1691" w:h="1301" w:wrap="around" w:vAnchor="text" w:hAnchor="margin" w:x="8471" w:y="-153"/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340" w:right="20"/>
      </w:pPr>
      <w:r>
        <w:rPr>
          <w:rStyle w:val="CharStyle12"/>
          <w:spacing w:val="0"/>
        </w:rPr>
        <w:t>С.И. Казарин Н.А. Узкий Э.З. 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7838" w:line="427" w:lineRule="exact"/>
        <w:ind w:left="20" w:right="3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 (495)784-75-05</w:t>
      </w:r>
    </w:p>
    <w:sectPr>
      <w:pgSz w:w="11906" w:h="16838"/>
      <w:pgMar w:top="1269" w:left="848" w:right="848" w:bottom="164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"/>
    <w:basedOn w:val="CharStyle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4">
    <w:name w:val="Основной текст (3)_"/>
    <w:basedOn w:val="DefaultParagraphFont"/>
    <w:link w:val="Style13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240" w:line="283" w:lineRule="exact"/>
      <w:ind w:hanging="22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15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outlineLvl w:val="0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FFFFFF"/>
      <w:spacing w:before="7680" w:line="23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