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14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«Организатор перевозок»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9" w:line="283" w:lineRule="exact"/>
        <w:ind w:left="54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2-й Лесной пер., д. 11, стр. 1, г. Москва, 125047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4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«ДТЗ»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19" w:line="283" w:lineRule="exact"/>
        <w:ind w:left="542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Щепкина 51/4, стр. 2, г. Москва, 129110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3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Юлдашев Т.Ш.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422" w:line="260" w:lineRule="exact"/>
        <w:ind w:left="5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Спортивная, д. 2, кв. 58, МО, 140142</w:t>
      </w:r>
    </w:p>
    <w:p>
      <w:pPr>
        <w:pStyle w:val="Style8"/>
        <w:tabs>
          <w:tab w:leader="none" w:pos="11421" w:val="right"/>
          <w:tab w:leader="none" w:pos="1247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320" w:right="2220" w:firstLine="21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077/06/106-18754/2021 о нарушении законодательства о контрактной системе</w:t>
      </w:r>
    </w:p>
    <w:p>
      <w:pPr>
        <w:pStyle w:val="Style8"/>
        <w:numPr>
          <w:ilvl w:val="0"/>
          <w:numId w:val="1"/>
        </w:numPr>
        <w:tabs>
          <w:tab w:leader="none" w:pos="9201" w:val="right"/>
          <w:tab w:leader="none" w:pos="10277" w:val="right"/>
          <w:tab w:leader="none" w:pos="905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- главного государственного инспектора отдела обжалования государственных закупок С.И. Казарина,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Главного специалиста-эксперта отдела обжалования государственных закупок</w:t>
      </w:r>
    </w:p>
    <w:p>
      <w:pPr>
        <w:pStyle w:val="Style5"/>
        <w:tabs>
          <w:tab w:leader="none" w:pos="70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Узкого,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первого разряда отдела обжалования государственных закупок Э.З. Гугава,</w:t>
      </w:r>
    </w:p>
    <w:p>
      <w:pPr>
        <w:pStyle w:val="Style5"/>
        <w:tabs>
          <w:tab w:leader="none" w:pos="1823" w:val="left"/>
          <w:tab w:leader="none" w:pos="8532" w:val="center"/>
          <w:tab w:leader="none" w:pos="8524" w:val="center"/>
          <w:tab w:leader="none" w:pos="102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>связи) в</w:t>
        <w:tab/>
        <w:t>целях исполнения Указа</w:t>
        <w:tab/>
        <w:t>Мэра Москвы</w:t>
        <w:tab/>
        <w:t>от</w:t>
        <w:tab/>
        <w:t>25.09.2020</w:t>
      </w:r>
    </w:p>
    <w:p>
      <w:pPr>
        <w:pStyle w:val="Style5"/>
        <w:tabs>
          <w:tab w:leader="none" w:pos="690" w:val="left"/>
          <w:tab w:leader="none" w:pos="1823" w:val="left"/>
          <w:tab w:leader="none" w:pos="2378" w:val="left"/>
          <w:tab w:leader="none" w:pos="7977" w:val="right"/>
          <w:tab w:leader="none" w:pos="8186" w:val="center"/>
          <w:tab w:leader="none" w:pos="102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</w:t>
        <w:tab/>
        <w:t>92-УМ</w:t>
        <w:tab/>
        <w:t>«О</w:t>
        <w:tab/>
        <w:t>внесении изменений в</w:t>
        <w:tab/>
        <w:t>правовые акты</w:t>
        <w:tab/>
        <w:t>города</w:t>
        <w:tab/>
        <w:t>Москвы»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ГКУ «Организатор перевозок», ГКУ «ДТЗ», ИП Юлдашев Т.Ш.,</w:t>
      </w:r>
    </w:p>
    <w:p>
      <w:pPr>
        <w:pStyle w:val="Style5"/>
        <w:tabs>
          <w:tab w:leader="none" w:pos="8532" w:val="center"/>
          <w:tab w:leader="none" w:pos="1027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ИП Юлдашев Т.Ш. (далее</w:t>
        <w:tab/>
        <w:t>—</w:t>
        <w:tab/>
        <w:t>Заявитель)</w:t>
      </w:r>
    </w:p>
    <w:p>
      <w:pPr>
        <w:pStyle w:val="Style5"/>
        <w:tabs>
          <w:tab w:leader="none" w:pos="1823" w:val="left"/>
          <w:tab w:leader="none" w:pos="2479" w:val="left"/>
          <w:tab w:leader="none" w:pos="7977" w:val="right"/>
          <w:tab w:leader="none" w:pos="8532" w:val="center"/>
          <w:tab w:leader="none" w:pos="8945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</w:t>
        <w:tab/>
        <w:t>ГКУ</w:t>
        <w:tab/>
        <w:t>«Организатор перевозок»</w:t>
        <w:tab/>
        <w:t>(далее — Заказчик)</w:t>
        <w:tab/>
        <w:t>при</w:t>
        <w:tab/>
        <w:t>проведении</w:t>
      </w:r>
    </w:p>
    <w:p>
      <w:pPr>
        <w:pStyle w:val="Style3"/>
        <w:framePr w:w="1685" w:h="394" w:wrap="around" w:vAnchor="text" w:hAnchor="margin" w:x="452" w:y="27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000153789212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электронного аукциона на право заключения государственного контракта на оказание услуг по обслуживанию систем кондиционирования воздуха (Закупка № 0373200082121001008) (далее - электронный аукцион,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Style w:val="CharStyle10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регламентом, утвержденным приказом ФАС России от 19.11.2014 №727/14,</w:t>
      </w:r>
      <w:r>
        <w:br w:type="page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от 18.10.2021 ЕИ/63690/21.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жалобы, рассмотрев представленные документы и сведения, Комиссией Управления установлено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протоколу подведения итогов электронного аукциона от 12.10.2021 №0373200082121001008-3 вторая часть заявки ИП Юлдашев Т.Ш. признана не соответствующей требованиям аукционной документации на следующем основании: «Представленная участником в качестве обеспечения заявки Банковская гарантия содержит следующие условия: «Требование по гарантии может считаться представленным Гаранту до истечения определенного в Гарантии срока только в том случае, если по состоянию на последний день срока действия Гарантии соответствующее требования получено Гарантом». Данные условия противоречат требованиям ст. 45 Федерального закона № 44-ФЗ».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ч.1 ст.45 Закона о контрактной системе Заказчики в качестве обеспечения заявок, исполнения контрактов, гарантийных обязательств принимают банковские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ч.1.2 ст.45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ч.6 ст.45 Закона о контрактной системе основанием для отказа в принятии банковской гарантии заказчиком является: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отсутствие информации о банковской гарантии в предусмотренных ст.45 Закона о контрактной системе реестрах банковских гарантий;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несоответствие банковской гарантии условиям, указанным в частях 2 и 3 ст.45 Закона о контрактной системе;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несоответствие банковской гарантии требованиям, содержащимся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п.2 ч.1 ст.64 Закона о контрактной системе аукционная документация наряду с информацией, указанной в извещении о проведении электронного аукциона,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установлено, что Заявителем в качестве обеспечения заявки представлена банковская гарантия от 05.10.2021 № РКБ-046449/21, выданная Банк «РЕСО Кредит» (АО) (далее — Банковская гарантия).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12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Ч.2 ст.45 Закона о контрактной системе установлен перечень информации, которая должна содержать банковская гарантия.</w:t>
      </w:r>
    </w:p>
    <w:p>
      <w:pPr>
        <w:pStyle w:val="Style5"/>
        <w:tabs>
          <w:tab w:leader="none" w:pos="29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ч.8.2</w:t>
        <w:tab/>
        <w:t>ст.45 Закона о контрактной системе дополнительные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требования к банковской гарантии, используемой для целей Закона о контрактной системе, порядок ведения и размещения в единой информационной системе реестра банковских гарантий, порядок формирования и ведения закрытого реестра банковских гарантий, в том числе включения в него информации, порядок и сроки предоставления выписок из него, форма требования об осуществлении уплаты денежной суммы по банковской гарантии устанавливаются Правительством Российской Федерации.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14"/>
          <w:i w:val="0"/>
          <w:iCs w:val="0"/>
        </w:rPr>
        <w:t xml:space="preserve">На заседании Комиссии Управления установлено, что в Банковской гарантии предусмотрено следующее: п.1.5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«...Требование по гарантии может считаться представленным гаранту до истечения определенного в Гарантии срока только в том случае, если по состоянию на последний день срока действия Гарантии соответствующее требование получено Гарантом».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из положений п.2 ст.374 Гражданского Кодекса Российской Федерации, требование бенефициара должно быть предъявлено гаранту до окончания срока действия гарантии, что не может в ряде случаев считаться действием, совпадающим по времени совершения с моментом получения гарантом такого требования.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п.2 ст.194 Гражданского Кодекса Российской Федерации письменные заявления и извещения, сданные в организацию связи до двадцати четырех часов последнего дня срока, считаются сделанными в срок.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совокупности применения п.2 ст.194 и п.2 ст.374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Гарантом, даже если получены им за пределами срока действия гарантии.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установление в банковской гарантии положения, что требование платежа по гарантии должно быть получено Гарантом до истечения срока действия банковской гарантии, ведет к сокращению времени на подготовку Заказчиком такого требования и направления его банку-гаранту, поскольку в данном случае также необходимо учитывать сроки на получение такого требования банком.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ч. 6 ст. 45 Закона о контрактной системе основанием для отказа в принятии банковской гарантии заказчиком является несоответствие банковской гарантии условиям, указанным в ч.2 и 3 ст.45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частью 11 статьи 24.1, частями 3 или 3.1, 5, 8.2 статьи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частью 1, частями 1.1, 2 и 2.1 (при наличии таких требований) статьи 31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 о контрактной системе;</w:t>
      </w:r>
    </w:p>
    <w:p>
      <w:pPr>
        <w:pStyle w:val="Style5"/>
        <w:numPr>
          <w:ilvl w:val="0"/>
          <w:numId w:val="5"/>
        </w:numPr>
        <w:tabs>
          <w:tab w:leader="none" w:pos="131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предусмотренном нормативными правовыми актами, принятыми в соответствии со статьей 14 Закона о контрактной системе 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Комиссия Управления приходит к выводу, что у аукционной комиссии имелись основания для признания банковской гарантии не соответствующей требованиям аукционной документации и принятие аукционной комиссией решения в части признания заявки Заявителя не соответствующей является правомерным.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78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№727/14, Законом о контрактной системе, Комиссия Управления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314" w:line="260" w:lineRule="exact"/>
        <w:ind w:left="47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ИП Юлдашев Т.Ш. на действия аукционной комиссии ГКУ «Организатор перевозок» необоснованной.</w:t>
      </w:r>
    </w:p>
    <w:p>
      <w:pPr>
        <w:pStyle w:val="Style5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 путем проведения аукциона, наложенные письмом Московского УФАС России от</w:t>
      </w:r>
    </w:p>
    <w:p>
      <w:pPr>
        <w:pStyle w:val="Style5"/>
        <w:numPr>
          <w:ilvl w:val="0"/>
          <w:numId w:val="9"/>
        </w:numPr>
        <w:tabs>
          <w:tab w:leader="none" w:pos="145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4" w:line="30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ЕИ/63690/21.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1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гл. 24 АПК РФ.</w:t>
      </w:r>
    </w:p>
    <w:p>
      <w:pPr>
        <w:pStyle w:val="Style5"/>
        <w:framePr w:w="1682" w:h="1301" w:wrap="around" w:vAnchor="text" w:hAnchor="margin" w:x="8524" w:y="-153"/>
        <w:widowControl w:val="0"/>
        <w:keepNext w:val="0"/>
        <w:keepLines w:val="0"/>
        <w:shd w:val="clear" w:color="auto" w:fill="auto"/>
        <w:bidi w:val="0"/>
        <w:jc w:val="both"/>
        <w:spacing w:before="0" w:after="0" w:line="432" w:lineRule="exact"/>
        <w:ind w:left="320" w:right="0"/>
      </w:pPr>
      <w:r>
        <w:rPr>
          <w:rStyle w:val="CharStyle6"/>
        </w:rPr>
        <w:t>С.И. Казарин Н.А. Узкий Э.З. Гугава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070" w:line="427" w:lineRule="exact"/>
        <w:ind w:left="20" w:right="40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74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Гугава Эдуард Звиадович 8(495)784-75-05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75" w:left="807" w:right="783" w:bottom="103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21.10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1"/>
      <w:numFmt w:val="decimal"/>
      <w:lvlText w:val="18.10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7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+ 9,5 pt,Полужирный"/>
    <w:basedOn w:val="CharStyle7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13">
    <w:name w:val="Основной текст (3)_"/>
    <w:basedOn w:val="DefaultParagraphFont"/>
    <w:link w:val="Style12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4">
    <w:name w:val="Основной текст (3) + Не курсив"/>
    <w:basedOn w:val="CharStyle13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6">
    <w:name w:val="Основной текст (4)_"/>
    <w:basedOn w:val="DefaultParagraphFont"/>
    <w:link w:val="Style1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7"/>
    <w:pPr>
      <w:widowControl w:val="0"/>
      <w:shd w:val="clear" w:color="auto" w:fill="FFFFFF"/>
      <w:spacing w:after="300" w:line="0" w:lineRule="exact"/>
      <w:ind w:hanging="22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540"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jc w:val="both"/>
      <w:spacing w:line="307" w:lineRule="exact"/>
      <w:ind w:firstLine="72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4)"/>
    <w:basedOn w:val="Normal"/>
    <w:link w:val="CharStyle16"/>
    <w:pPr>
      <w:widowControl w:val="0"/>
      <w:shd w:val="clear" w:color="auto" w:fill="FFFFFF"/>
      <w:spacing w:before="4920" w:line="24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