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4"/>
        <w:ind w:left="5300" w:right="260" w:firstLine="0"/>
      </w:pPr>
      <w:r>
        <w:rPr>
          <w:lang w:val="ru-RU" w:eastAsia="ru-RU" w:bidi="ru-RU"/>
          <w:w w:val="100"/>
          <w:spacing w:val="0"/>
          <w:color w:val="000000"/>
          <w:position w:val="0"/>
        </w:rPr>
        <w:t>ГБОУ «Школа № 56 имени академика В.А. Легасова»</w:t>
      </w:r>
    </w:p>
    <w:p>
      <w:pPr>
        <w:pStyle w:val="Style3"/>
        <w:widowControl w:val="0"/>
        <w:keepNext w:val="0"/>
        <w:keepLines w:val="0"/>
        <w:shd w:val="clear" w:color="auto" w:fill="auto"/>
        <w:bidi w:val="0"/>
        <w:jc w:val="left"/>
        <w:spacing w:before="0" w:after="289" w:line="322" w:lineRule="exact"/>
        <w:ind w:left="5300" w:right="260" w:firstLine="0"/>
      </w:pPr>
      <w:r>
        <w:rPr>
          <w:lang w:val="ru-RU" w:eastAsia="ru-RU" w:bidi="ru-RU"/>
          <w:w w:val="100"/>
          <w:spacing w:val="0"/>
          <w:color w:val="000000"/>
          <w:position w:val="0"/>
        </w:rPr>
        <w:t>Кутузовский пр-т, д. 22, корп. 1, г. Москва, 121151</w:t>
      </w:r>
    </w:p>
    <w:p>
      <w:pPr>
        <w:pStyle w:val="Style3"/>
        <w:widowControl w:val="0"/>
        <w:keepNext w:val="0"/>
        <w:keepLines w:val="0"/>
        <w:shd w:val="clear" w:color="auto" w:fill="auto"/>
        <w:bidi w:val="0"/>
        <w:jc w:val="left"/>
        <w:spacing w:before="0" w:after="2" w:line="260" w:lineRule="exact"/>
        <w:ind w:left="5300" w:right="0" w:firstLine="0"/>
      </w:pPr>
      <w:r>
        <w:fldChar w:fldCharType="begin"/>
      </w:r>
      <w:r>
        <w:rPr>
          <w:color w:val="000000"/>
        </w:rPr>
        <w:instrText> HYPERLINK "mailto:56@edu.mos.ru" </w:instrText>
      </w:r>
      <w:r>
        <w:fldChar w:fldCharType="separate"/>
      </w:r>
      <w:r>
        <w:rPr>
          <w:rStyle w:val="Hyperlink"/>
          <w:lang w:val="en-US" w:eastAsia="en-US" w:bidi="en-US"/>
          <w:w w:val="100"/>
          <w:spacing w:val="0"/>
          <w:position w:val="0"/>
        </w:rPr>
        <w:t>56@edu.mos.ru</w:t>
      </w:r>
      <w:r>
        <w:fldChar w:fldCharType="end"/>
      </w:r>
    </w:p>
    <w:p>
      <w:pPr>
        <w:pStyle w:val="Style3"/>
        <w:widowControl w:val="0"/>
        <w:keepNext w:val="0"/>
        <w:keepLines w:val="0"/>
        <w:shd w:val="clear" w:color="auto" w:fill="auto"/>
        <w:bidi w:val="0"/>
        <w:jc w:val="left"/>
        <w:spacing w:before="0" w:after="303" w:line="260" w:lineRule="exact"/>
        <w:ind w:left="5300" w:right="0" w:firstLine="0"/>
      </w:pPr>
      <w:r>
        <w:fldChar w:fldCharType="begin"/>
      </w:r>
      <w:r>
        <w:rPr>
          <w:color w:val="000000"/>
        </w:rPr>
        <w:instrText> HYPERLINK "mailto:KhusainovaES@edu.mos.ru" </w:instrText>
      </w:r>
      <w:r>
        <w:fldChar w:fldCharType="separate"/>
      </w:r>
      <w:r>
        <w:rPr>
          <w:rStyle w:val="Hyperlink"/>
          <w:lang w:val="en-US" w:eastAsia="en-US" w:bidi="en-US"/>
          <w:w w:val="100"/>
          <w:spacing w:val="0"/>
          <w:position w:val="0"/>
        </w:rPr>
        <w:t>KhusainovaES@edu.mos.ru</w:t>
      </w:r>
      <w:r>
        <w:fldChar w:fldCharType="end"/>
      </w:r>
    </w:p>
    <w:p>
      <w:pPr>
        <w:pStyle w:val="Style3"/>
        <w:widowControl w:val="0"/>
        <w:keepNext w:val="0"/>
        <w:keepLines w:val="0"/>
        <w:shd w:val="clear" w:color="auto" w:fill="auto"/>
        <w:bidi w:val="0"/>
        <w:jc w:val="left"/>
        <w:spacing w:before="0" w:after="0" w:line="322" w:lineRule="exact"/>
        <w:ind w:left="5300" w:right="0" w:firstLine="0"/>
      </w:pPr>
      <w:r>
        <w:rPr>
          <w:lang w:val="ru-RU" w:eastAsia="ru-RU" w:bidi="ru-RU"/>
          <w:w w:val="100"/>
          <w:spacing w:val="0"/>
          <w:color w:val="000000"/>
          <w:position w:val="0"/>
        </w:rPr>
        <w:t>ГКУ ДИРЕКЦИЯ ДОНМ</w:t>
      </w:r>
    </w:p>
    <w:p>
      <w:pPr>
        <w:pStyle w:val="Style3"/>
        <w:widowControl w:val="0"/>
        <w:keepNext w:val="0"/>
        <w:keepLines w:val="0"/>
        <w:shd w:val="clear" w:color="auto" w:fill="auto"/>
        <w:bidi w:val="0"/>
        <w:jc w:val="left"/>
        <w:spacing w:before="0" w:after="0" w:line="322" w:lineRule="exact"/>
        <w:ind w:left="5300" w:right="0" w:firstLine="0"/>
      </w:pPr>
      <w:r>
        <w:rPr>
          <w:lang w:val="ru-RU" w:eastAsia="ru-RU" w:bidi="ru-RU"/>
          <w:w w:val="100"/>
          <w:spacing w:val="0"/>
          <w:color w:val="000000"/>
          <w:position w:val="0"/>
        </w:rPr>
        <w:t>ул. Студенческая, д. 37, г. Москва,</w:t>
      </w:r>
    </w:p>
    <w:p>
      <w:pPr>
        <w:pStyle w:val="Style3"/>
        <w:widowControl w:val="0"/>
        <w:keepNext w:val="0"/>
        <w:keepLines w:val="0"/>
        <w:shd w:val="clear" w:color="auto" w:fill="auto"/>
        <w:bidi w:val="0"/>
        <w:jc w:val="left"/>
        <w:spacing w:before="0" w:after="0" w:line="322" w:lineRule="exact"/>
        <w:ind w:left="5300" w:right="0" w:firstLine="0"/>
      </w:pPr>
      <w:r>
        <w:rPr>
          <w:lang w:val="ru-RU" w:eastAsia="ru-RU" w:bidi="ru-RU"/>
          <w:w w:val="100"/>
          <w:spacing w:val="0"/>
          <w:color w:val="000000"/>
          <w:position w:val="0"/>
        </w:rPr>
        <w:t>121165</w:t>
      </w:r>
    </w:p>
    <w:p>
      <w:pPr>
        <w:pStyle w:val="Style3"/>
        <w:widowControl w:val="0"/>
        <w:keepNext w:val="0"/>
        <w:keepLines w:val="0"/>
        <w:shd w:val="clear" w:color="auto" w:fill="auto"/>
        <w:bidi w:val="0"/>
        <w:jc w:val="left"/>
        <w:spacing w:before="0" w:after="244" w:line="322" w:lineRule="exact"/>
        <w:ind w:left="5300" w:right="0" w:firstLine="0"/>
      </w:pPr>
      <w:r>
        <w:fldChar w:fldCharType="begin"/>
      </w:r>
      <w:r>
        <w:rPr>
          <w:color w:val="000000"/>
        </w:rPr>
        <w:instrText> HYPERLINK "mailto:MoshkinPV@edu.mos.ru" </w:instrText>
      </w:r>
      <w:r>
        <w:fldChar w:fldCharType="separate"/>
      </w:r>
      <w:r>
        <w:rPr>
          <w:rStyle w:val="Hyperlink"/>
          <w:lang w:val="en-US" w:eastAsia="en-US" w:bidi="en-US"/>
          <w:w w:val="100"/>
          <w:spacing w:val="0"/>
          <w:position w:val="0"/>
        </w:rPr>
        <w:t>MoshkinPV@edu.mos.ru</w:t>
      </w:r>
      <w:r>
        <w:fldChar w:fldCharType="end"/>
      </w:r>
    </w:p>
    <w:p>
      <w:pPr>
        <w:pStyle w:val="Style3"/>
        <w:widowControl w:val="0"/>
        <w:keepNext w:val="0"/>
        <w:keepLines w:val="0"/>
        <w:shd w:val="clear" w:color="auto" w:fill="auto"/>
        <w:bidi w:val="0"/>
        <w:jc w:val="left"/>
        <w:spacing w:before="0" w:after="0" w:line="317" w:lineRule="exact"/>
        <w:ind w:left="5300" w:right="0" w:firstLine="0"/>
      </w:pPr>
      <w:r>
        <w:rPr>
          <w:lang w:val="ru-RU" w:eastAsia="ru-RU" w:bidi="ru-RU"/>
          <w:w w:val="100"/>
          <w:spacing w:val="0"/>
          <w:color w:val="000000"/>
          <w:position w:val="0"/>
        </w:rPr>
        <w:t>ООО «Систем Групп»</w:t>
      </w:r>
    </w:p>
    <w:p>
      <w:pPr>
        <w:pStyle w:val="Style3"/>
        <w:widowControl w:val="0"/>
        <w:keepNext w:val="0"/>
        <w:keepLines w:val="0"/>
        <w:shd w:val="clear" w:color="auto" w:fill="auto"/>
        <w:bidi w:val="0"/>
        <w:jc w:val="left"/>
        <w:spacing w:before="0" w:after="0" w:line="317" w:lineRule="exact"/>
        <w:ind w:left="5300" w:right="0" w:firstLine="0"/>
      </w:pPr>
      <w:r>
        <w:rPr>
          <w:lang w:val="ru-RU" w:eastAsia="ru-RU" w:bidi="ru-RU"/>
          <w:w w:val="100"/>
          <w:spacing w:val="0"/>
          <w:color w:val="000000"/>
          <w:position w:val="0"/>
        </w:rPr>
        <w:t>ул. Радио, д.24, корп. 1, под. 1, оф. 015,</w:t>
      </w:r>
    </w:p>
    <w:p>
      <w:pPr>
        <w:pStyle w:val="Style3"/>
        <w:widowControl w:val="0"/>
        <w:keepNext w:val="0"/>
        <w:keepLines w:val="0"/>
        <w:shd w:val="clear" w:color="auto" w:fill="auto"/>
        <w:bidi w:val="0"/>
        <w:jc w:val="left"/>
        <w:spacing w:before="0" w:after="286" w:line="317" w:lineRule="exact"/>
        <w:ind w:left="5300" w:right="0" w:firstLine="0"/>
      </w:pPr>
      <w:r>
        <w:rPr>
          <w:lang w:val="ru-RU" w:eastAsia="ru-RU" w:bidi="ru-RU"/>
          <w:w w:val="100"/>
          <w:spacing w:val="0"/>
          <w:color w:val="000000"/>
          <w:position w:val="0"/>
        </w:rPr>
        <w:t>г. Москва, 105005</w:t>
      </w:r>
    </w:p>
    <w:p>
      <w:pPr>
        <w:pStyle w:val="Style3"/>
        <w:widowControl w:val="0"/>
        <w:keepNext w:val="0"/>
        <w:keepLines w:val="0"/>
        <w:shd w:val="clear" w:color="auto" w:fill="auto"/>
        <w:bidi w:val="0"/>
        <w:jc w:val="left"/>
        <w:spacing w:before="0" w:after="838" w:line="260" w:lineRule="exact"/>
        <w:ind w:left="5300" w:right="0" w:firstLine="0"/>
      </w:pPr>
      <w:r>
        <w:fldChar w:fldCharType="begin"/>
      </w:r>
      <w:r>
        <w:rPr>
          <w:color w:val="000000"/>
        </w:rPr>
        <w:instrText> HYPERLINK "mailto:msk@gksystem.ru" </w:instrText>
      </w:r>
      <w:r>
        <w:fldChar w:fldCharType="separate"/>
      </w:r>
      <w:r>
        <w:rPr>
          <w:rStyle w:val="Hyperlink"/>
          <w:lang w:val="en-US" w:eastAsia="en-US" w:bidi="en-US"/>
          <w:w w:val="100"/>
          <w:spacing w:val="0"/>
          <w:position w:val="0"/>
        </w:rPr>
        <w:t>msk@gksystem.ru</w:t>
      </w:r>
      <w:r>
        <w:fldChar w:fldCharType="end"/>
      </w:r>
    </w:p>
    <w:p>
      <w:pPr>
        <w:pStyle w:val="Style5"/>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РЕШЕНИЕ</w:t>
      </w:r>
    </w:p>
    <w:p>
      <w:pPr>
        <w:pStyle w:val="Style5"/>
        <w:tabs>
          <w:tab w:leader="none" w:pos="11751" w:val="right"/>
        </w:tabs>
        <w:widowControl w:val="0"/>
        <w:keepNext w:val="0"/>
        <w:keepLines w:val="0"/>
        <w:shd w:val="clear" w:color="auto" w:fill="auto"/>
        <w:bidi w:val="0"/>
        <w:jc w:val="left"/>
        <w:spacing w:before="0" w:after="0"/>
        <w:ind w:left="2500" w:right="2260"/>
      </w:pPr>
      <w:r>
        <w:rPr>
          <w:lang w:val="ru-RU" w:eastAsia="ru-RU" w:bidi="ru-RU"/>
          <w:w w:val="100"/>
          <w:spacing w:val="0"/>
          <w:color w:val="000000"/>
          <w:position w:val="0"/>
        </w:rPr>
        <w:t>по делу № 077/06/106-18836/2021 о нарушении законодательства о контрактной системе</w:t>
      </w:r>
    </w:p>
    <w:p>
      <w:pPr>
        <w:pStyle w:val="Style5"/>
        <w:numPr>
          <w:ilvl w:val="0"/>
          <w:numId w:val="1"/>
        </w:numPr>
        <w:tabs>
          <w:tab w:leader="none" w:pos="9591" w:val="right"/>
          <w:tab w:leader="none" w:pos="863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3"/>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w:t>
      </w:r>
      <w:r>
        <w:rPr>
          <w:lang w:val="en-US" w:eastAsia="en-US" w:bidi="en-US"/>
          <w:w w:val="100"/>
          <w:spacing w:val="0"/>
          <w:color w:val="000000"/>
          <w:position w:val="0"/>
        </w:rPr>
        <w:t>(COVID-19)»,</w:t>
      </w:r>
    </w:p>
    <w:p>
      <w:pPr>
        <w:pStyle w:val="Style3"/>
        <w:widowControl w:val="0"/>
        <w:keepNext w:val="0"/>
        <w:keepLines w:val="0"/>
        <w:shd w:val="clear" w:color="auto" w:fill="auto"/>
        <w:bidi w:val="0"/>
        <w:jc w:val="both"/>
        <w:spacing w:before="0" w:after="0" w:line="322" w:lineRule="exact"/>
        <w:ind w:left="20" w:right="0" w:firstLine="660"/>
      </w:pPr>
      <w:r>
        <w:rPr>
          <w:lang w:val="ru-RU" w:eastAsia="ru-RU" w:bidi="ru-RU"/>
          <w:w w:val="100"/>
          <w:spacing w:val="0"/>
          <w:color w:val="000000"/>
          <w:position w:val="0"/>
        </w:rPr>
        <w:t>при участии представителей:</w:t>
      </w:r>
    </w:p>
    <w:p>
      <w:pPr>
        <w:pStyle w:val="Style3"/>
        <w:widowControl w:val="0"/>
        <w:keepNext w:val="0"/>
        <w:keepLines w:val="0"/>
        <w:shd w:val="clear" w:color="auto" w:fill="auto"/>
        <w:bidi w:val="0"/>
        <w:jc w:val="both"/>
        <w:spacing w:before="0" w:after="176" w:line="322" w:lineRule="exact"/>
        <w:ind w:left="20" w:right="0" w:firstLine="660"/>
      </w:pPr>
      <w:r>
        <w:rPr>
          <w:lang w:val="ru-RU" w:eastAsia="ru-RU" w:bidi="ru-RU"/>
          <w:w w:val="100"/>
          <w:spacing w:val="0"/>
          <w:color w:val="000000"/>
          <w:position w:val="0"/>
        </w:rPr>
        <w:t>ГБОУ «Школа № 56 имени академика В.А. Легасова»: Е.В. Гольцмана (по</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001006581562</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доверенности от 21.10.2021 №84), С.Г. Селиверстовой (по доверенности от</w:t>
      </w:r>
    </w:p>
    <w:p>
      <w:pPr>
        <w:pStyle w:val="Style3"/>
        <w:numPr>
          <w:ilvl w:val="0"/>
          <w:numId w:val="3"/>
        </w:numPr>
        <w:tabs>
          <w:tab w:leader="none" w:pos="1379"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№84),</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ООО «Систем Групп»: С.А. Андросовой (по доверенности от 15.10.2021 №156),</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 также в отсутствие представителей ГКУ Дирекция ДОНМ, о времени, порядке рассмотрения жалобы уведомлены письмом Московского УФАС России (исх.№ЕИ/64070/21 от 19.10.2021),</w:t>
      </w:r>
    </w:p>
    <w:p>
      <w:pPr>
        <w:pStyle w:val="Style3"/>
        <w:widowControl w:val="0"/>
        <w:keepNext w:val="0"/>
        <w:keepLines w:val="0"/>
        <w:shd w:val="clear" w:color="auto" w:fill="auto"/>
        <w:bidi w:val="0"/>
        <w:jc w:val="both"/>
        <w:spacing w:before="0" w:after="300" w:line="322" w:lineRule="exact"/>
        <w:ind w:left="20" w:right="20" w:firstLine="720"/>
      </w:pPr>
      <w:r>
        <w:rPr>
          <w:lang w:val="ru-RU" w:eastAsia="ru-RU" w:bidi="ru-RU"/>
          <w:w w:val="100"/>
          <w:spacing w:val="0"/>
          <w:color w:val="000000"/>
          <w:position w:val="0"/>
        </w:rPr>
        <w:t>рассмотрев жалобу ООО «Систем Групп» (далее — Заявитель) на действия ГБОУ «Школа № 56 имени академика В.А. Легасова» (далее — Заказчик) при проведении электронного аукциона на право заключения государственного контракта на выполнение работ по монтажу установок пожарной автоматики и средств пожаротушения для нужд образовательных организаций, подведомственных Департаменту образования и науки города Москвы (Закупка № 0873500000821005403)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№ЕИ/64070/21 от 19.10.2021.</w:t>
      </w:r>
    </w:p>
    <w:p>
      <w:pPr>
        <w:pStyle w:val="Style3"/>
        <w:tabs>
          <w:tab w:leader="none" w:pos="2194" w:val="center"/>
          <w:tab w:leader="none" w:pos="4642" w:val="right"/>
          <w:tab w:leader="none" w:pos="6543" w:val="center"/>
          <w:tab w:leader="none" w:pos="10206" w:val="righ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составе жалобы указано, что в проектной документации Заказчиком установлены неправомерные требования к используемым при выполнении работ товарам</w:t>
        <w:tab/>
        <w:t>с</w:t>
        <w:tab/>
        <w:t>указанием</w:t>
        <w:tab/>
        <w:t>конкретного</w:t>
        <w:tab/>
        <w:t>производителя</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«Аргус-Спектр» с исполнением ПМ, которым соответствует товарный знак «Аргус- Спектр» без сопровождения словами «или эквивалент», при этом в составе аукционной документации также отсутствуют параметры эквивалентности, что ограничивает количество участников закупки.</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3"/>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2" w:lineRule="exact"/>
        <w:ind w:left="20" w:right="20" w:firstLine="760"/>
      </w:pPr>
      <w:r>
        <w:rPr>
          <w:lang w:val="ru-RU" w:eastAsia="ru-RU" w:bidi="ru-RU"/>
          <w:w w:val="100"/>
          <w:spacing w:val="0"/>
          <w:color w:val="000000"/>
          <w:position w:val="0"/>
        </w:rPr>
        <w:t>П 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line="322" w:lineRule="exact"/>
        <w:ind w:left="20" w:right="20" w:firstLine="76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20" w:firstLine="760"/>
      </w:pPr>
      <w:r>
        <w:rPr>
          <w:lang w:val="ru-RU" w:eastAsia="ru-RU" w:bidi="ru-RU"/>
          <w:w w:val="100"/>
          <w:spacing w:val="0"/>
          <w:color w:val="000000"/>
          <w:position w:val="0"/>
        </w:rPr>
        <w:t>В силу п.2 ст.42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3"/>
        <w:widowControl w:val="0"/>
        <w:keepNext w:val="0"/>
        <w:keepLines w:val="0"/>
        <w:shd w:val="clear" w:color="auto" w:fill="auto"/>
        <w:bidi w:val="0"/>
        <w:jc w:val="both"/>
        <w:spacing w:before="0" w:after="0" w:line="322" w:lineRule="exact"/>
        <w:ind w:left="20" w:right="20" w:firstLine="760"/>
      </w:pPr>
      <w:r>
        <w:rPr>
          <w:lang w:val="ru-RU" w:eastAsia="ru-RU" w:bidi="ru-RU"/>
          <w:w w:val="100"/>
          <w:spacing w:val="0"/>
          <w:color w:val="000000"/>
          <w:position w:val="0"/>
        </w:rPr>
        <w:t>Ч.3 ст.66 Закона о контрактной системе установлены требования к составу первой части заявки на участие в электронном аукционе.</w:t>
      </w:r>
    </w:p>
    <w:p>
      <w:pPr>
        <w:pStyle w:val="Style3"/>
        <w:widowControl w:val="0"/>
        <w:keepNext w:val="0"/>
        <w:keepLines w:val="0"/>
        <w:shd w:val="clear" w:color="auto" w:fill="auto"/>
        <w:bidi w:val="0"/>
        <w:jc w:val="both"/>
        <w:spacing w:before="0" w:after="0" w:line="322" w:lineRule="exact"/>
        <w:ind w:left="20" w:right="20" w:firstLine="760"/>
      </w:pPr>
      <w:r>
        <w:rPr>
          <w:lang w:val="ru-RU" w:eastAsia="ru-RU" w:bidi="ru-RU"/>
          <w:w w:val="100"/>
          <w:spacing w:val="0"/>
          <w:color w:val="000000"/>
          <w:position w:val="0"/>
        </w:rPr>
        <w:t>Согласно п.18.1 информационной карты аукционной документации первая часть заявки на участие в электронном аукционе должна содержать следующие документы и информацию:</w:t>
      </w:r>
    </w:p>
    <w:p>
      <w:pPr>
        <w:pStyle w:val="Style3"/>
        <w:widowControl w:val="0"/>
        <w:keepNext w:val="0"/>
        <w:keepLines w:val="0"/>
        <w:shd w:val="clear" w:color="auto" w:fill="auto"/>
        <w:bidi w:val="0"/>
        <w:jc w:val="both"/>
        <w:spacing w:before="0" w:after="0" w:line="322" w:lineRule="exact"/>
        <w:ind w:left="20" w:right="20" w:firstLine="760"/>
      </w:pPr>
      <w:r>
        <w:rPr>
          <w:lang w:val="ru-RU" w:eastAsia="ru-RU" w:bidi="ru-RU"/>
          <w:w w:val="100"/>
          <w:spacing w:val="0"/>
          <w:color w:val="000000"/>
          <w:position w:val="0"/>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2.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На заседании Комиссии Управления представители Заказчика пояснили, что п.2.3 Технического задания предусмотрено, что «в случае, если Приложение3 «Проектная документация» или Приложение 4 «Сметная документация» к настоящему Техническому заданию содержат указания на марки, модели или наименования производителя оборудования, то такое указание считается установленным под условием — «или эквивалент», за исключением случаев несовместимости оборудования и (или) необходимости обеспечения взаимодействия такого оборудования с оборудованием и программным обеспечением, используемыми Заказчиком и (или) Единым дежурнодиспетчерским центром реагирования на чрезвычайные ситуации города Москвы».</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Также согласно п. 6.2 Технического задания для обеспечения качества выполнения работ Подрядчик обязан применять материалы, изделия, конструкции и оборудование, соответствующие требованиям проектной документации (Приложение 3 «Проектная документация» к настоящему Техническому заданию) и сметной документации (Приложение 4 «Сметная документация» к настоящему Техническому заданию).</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Таким образом участники закупки при подаче заявки не обязаны указывать продукцию конкретного производителя, и при исполнении контракта использовать аналогичное оборудование, которое соответствует п. 6.2 Технического задания.</w:t>
      </w:r>
    </w:p>
    <w:p>
      <w:pPr>
        <w:pStyle w:val="Style3"/>
        <w:widowControl w:val="0"/>
        <w:keepNext w:val="0"/>
        <w:keepLines w:val="0"/>
        <w:shd w:val="clear" w:color="auto" w:fill="auto"/>
        <w:bidi w:val="0"/>
        <w:jc w:val="both"/>
        <w:spacing w:before="0" w:after="0" w:line="322" w:lineRule="exact"/>
        <w:ind w:left="20" w:right="20" w:firstLine="740"/>
      </w:pPr>
      <w:r>
        <w:rPr>
          <w:lang w:val="ru-RU" w:eastAsia="ru-RU" w:bidi="ru-RU"/>
          <w:w w:val="100"/>
          <w:spacing w:val="0"/>
          <w:color w:val="000000"/>
          <w:position w:val="0"/>
        </w:rPr>
        <w:t>Также представители Заказчика пояснили, что на участие в закупке подано 4 заявки, снижение составляет более 10%, что, по мнению Заказчика, свидетельствует об отсутствии ограничения количества участников закупки.</w:t>
      </w:r>
    </w:p>
    <w:p>
      <w:pPr>
        <w:pStyle w:val="Style3"/>
        <w:tabs>
          <w:tab w:leader="none" w:pos="3424" w:val="left"/>
        </w:tabs>
        <w:widowControl w:val="0"/>
        <w:keepNext w:val="0"/>
        <w:keepLines w:val="0"/>
        <w:shd w:val="clear" w:color="auto" w:fill="auto"/>
        <w:bidi w:val="0"/>
        <w:jc w:val="both"/>
        <w:spacing w:before="0" w:after="0" w:line="322" w:lineRule="exact"/>
        <w:ind w:left="20" w:right="0" w:firstLine="620"/>
      </w:pPr>
      <w:r>
        <w:rPr>
          <w:lang w:val="ru-RU" w:eastAsia="ru-RU" w:bidi="ru-RU"/>
          <w:w w:val="100"/>
          <w:spacing w:val="0"/>
          <w:color w:val="000000"/>
          <w:position w:val="0"/>
        </w:rPr>
        <w:t>На основании ч.9</w:t>
        <w:tab/>
        <w:t>ст.105 Закона о контрактной системе к жалобе</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В составе жалобы, а также на заседании Комиссии Управления представителем Заявителя не представлено документов, подтверждающих обоснованность данного довода жалобы, а также свидетельствующих о нарушении Заказчиком норм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В свою очередь,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 Доказательств обратного Заявителем Комиссии Управления не представлено.</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3"/>
        <w:widowControl w:val="0"/>
        <w:keepNext w:val="0"/>
        <w:keepLines w:val="0"/>
        <w:shd w:val="clear" w:color="auto" w:fill="auto"/>
        <w:bidi w:val="0"/>
        <w:jc w:val="both"/>
        <w:spacing w:before="0" w:after="0" w:line="322" w:lineRule="exact"/>
        <w:ind w:left="20" w:right="20" w:firstLine="6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5"/>
        <w:widowControl w:val="0"/>
        <w:keepNext w:val="0"/>
        <w:keepLines w:val="0"/>
        <w:shd w:val="clear" w:color="auto" w:fill="auto"/>
        <w:bidi w:val="0"/>
        <w:spacing w:before="0" w:after="0" w:line="260" w:lineRule="exact"/>
        <w:ind w:left="40" w:right="0" w:firstLine="0"/>
      </w:pPr>
      <w:r>
        <w:rPr>
          <w:lang w:val="ru-RU" w:eastAsia="ru-RU" w:bidi="ru-RU"/>
          <w:w w:val="100"/>
          <w:spacing w:val="0"/>
          <w:color w:val="000000"/>
          <w:position w:val="0"/>
        </w:rPr>
        <w:t>Р Е Ш И Л А:</w:t>
      </w:r>
    </w:p>
    <w:p>
      <w:pPr>
        <w:pStyle w:val="Style3"/>
        <w:numPr>
          <w:ilvl w:val="0"/>
          <w:numId w:val="5"/>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Признать жалобу ООО «Систем Групп» на действия ГГБОУ «Школа № 56 имени академика В.А. Легасова» необоснованной.</w:t>
      </w:r>
    </w:p>
    <w:p>
      <w:pPr>
        <w:pStyle w:val="Style3"/>
        <w:numPr>
          <w:ilvl w:val="0"/>
          <w:numId w:val="5"/>
        </w:numPr>
        <w:widowControl w:val="0"/>
        <w:keepNext w:val="0"/>
        <w:keepLines w:val="0"/>
        <w:shd w:val="clear" w:color="auto" w:fill="auto"/>
        <w:bidi w:val="0"/>
        <w:jc w:val="both"/>
        <w:spacing w:before="0" w:after="240" w:line="322" w:lineRule="exact"/>
        <w:ind w:left="0" w:right="20" w:firstLine="720"/>
      </w:pPr>
      <w:r>
        <w:rPr>
          <w:lang w:val="ru-RU" w:eastAsia="ru-RU" w:bidi="ru-RU"/>
          <w:w w:val="100"/>
          <w:spacing w:val="0"/>
          <w:color w:val="000000"/>
          <w:position w:val="0"/>
        </w:rPr>
        <w:t>Снять ограничения, наложенные на определение поставщика (подрядчика, исполнителя) письмом Московского УФАС России №ЕИ/64070/21 от 19.10.2021.</w:t>
      </w:r>
    </w:p>
    <w:p>
      <w:pPr>
        <w:pStyle w:val="Style3"/>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3"/>
        <w:tabs>
          <w:tab w:leader="none" w:pos="8602"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С.И. Казарин</w:t>
      </w:r>
    </w:p>
    <w:p>
      <w:pPr>
        <w:pStyle w:val="Style3"/>
        <w:tabs>
          <w:tab w:leader="none" w:pos="8136"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А.А. Кутейников</w:t>
      </w:r>
    </w:p>
    <w:p>
      <w:pPr>
        <w:pStyle w:val="Style3"/>
        <w:widowControl w:val="0"/>
        <w:keepNext w:val="0"/>
        <w:keepLines w:val="0"/>
        <w:shd w:val="clear" w:color="auto" w:fill="auto"/>
        <w:bidi w:val="0"/>
        <w:jc w:val="right"/>
        <w:spacing w:before="0" w:after="7815" w:line="643" w:lineRule="exact"/>
        <w:ind w:left="0" w:right="20" w:firstLine="0"/>
      </w:pPr>
      <w:r>
        <w:rPr>
          <w:lang w:val="ru-RU" w:eastAsia="ru-RU" w:bidi="ru-RU"/>
          <w:w w:val="100"/>
          <w:spacing w:val="0"/>
          <w:color w:val="000000"/>
          <w:position w:val="0"/>
        </w:rPr>
        <w:t>Е.О. Сгибнев</w:t>
      </w:r>
    </w:p>
    <w:p>
      <w:pPr>
        <w:pStyle w:val="Style11"/>
        <w:widowControl w:val="0"/>
        <w:keepNext w:val="0"/>
        <w:keepLines w:val="0"/>
        <w:shd w:val="clear" w:color="auto" w:fill="auto"/>
        <w:bidi w:val="0"/>
        <w:jc w:val="left"/>
        <w:spacing w:before="0" w:after="0"/>
        <w:ind w:left="0" w:right="822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8" w:left="853" w:right="839"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2.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24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960" w:line="322" w:lineRule="exact"/>
      <w:ind w:hanging="320"/>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7500"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