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9"/>
        <w:widowControl w:val="0"/>
        <w:keepNext w:val="0"/>
        <w:keepLines w:val="0"/>
        <w:shd w:val="clear" w:color="auto" w:fill="auto"/>
        <w:bidi w:val="0"/>
        <w:spacing w:before="66" w:after="176"/>
        <w:ind w:left="0" w:right="0" w:firstLine="0"/>
      </w:pPr>
      <w:r>
        <w:rPr>
          <w:lang w:val="ru-RU" w:eastAsia="ru-RU" w:bidi="ru-RU"/>
          <w:w w:val="100"/>
          <w:spacing w:val="0"/>
          <w:color w:val="000000"/>
          <w:position w:val="0"/>
        </w:rPr>
        <w:t>ФЕДЕРАЛЬНАЯ АНТИМОНОПОЛЬНАЯ СЛУЖБА</w:t>
      </w:r>
    </w:p>
    <w:p>
      <w:pPr>
        <w:pStyle w:val="Style9"/>
        <w:widowControl w:val="0"/>
        <w:keepNext w:val="0"/>
        <w:keepLines w:val="0"/>
        <w:shd w:val="clear" w:color="auto" w:fill="auto"/>
        <w:bidi w:val="0"/>
        <w:spacing w:before="0" w:after="0" w:line="259" w:lineRule="exact"/>
        <w:ind w:left="0" w:right="0" w:firstLine="0"/>
      </w:pPr>
      <w:r>
        <w:rPr>
          <w:lang w:val="ru-RU" w:eastAsia="ru-RU" w:bidi="ru-RU"/>
          <w:w w:val="100"/>
          <w:spacing w:val="0"/>
          <w:color w:val="000000"/>
          <w:position w:val="0"/>
        </w:rPr>
        <w:t>УПРАВЛЕНИЕ Федеральной антимонопольной службы по Свердловской области</w:t>
      </w:r>
    </w:p>
    <w:p>
      <w:pPr>
        <w:pStyle w:val="Style9"/>
        <w:widowControl w:val="0"/>
        <w:keepNext w:val="0"/>
        <w:keepLines w:val="0"/>
        <w:shd w:val="clear" w:color="auto" w:fill="auto"/>
        <w:bidi w:val="0"/>
        <w:spacing w:before="0" w:after="0" w:line="240" w:lineRule="exact"/>
        <w:ind w:left="0" w:right="0" w:firstLine="0"/>
      </w:pPr>
      <w:r>
        <w:rPr>
          <w:lang w:val="ru-RU" w:eastAsia="ru-RU" w:bidi="ru-RU"/>
          <w:w w:val="100"/>
          <w:spacing w:val="0"/>
          <w:color w:val="000000"/>
          <w:position w:val="0"/>
        </w:rPr>
        <w:t>Федеральное государственное бюджетное образовательное учреждение высшего образования «Уральский государственный юридический университет» (УрГЮУ)</w:t>
      </w:r>
    </w:p>
    <w:p>
      <w:pPr>
        <w:pStyle w:val="Style9"/>
        <w:widowControl w:val="0"/>
        <w:keepNext w:val="0"/>
        <w:keepLines w:val="0"/>
        <w:shd w:val="clear" w:color="auto" w:fill="auto"/>
        <w:bidi w:val="0"/>
        <w:spacing w:before="0" w:after="0" w:line="245" w:lineRule="exact"/>
        <w:ind w:left="0" w:right="0" w:firstLine="0"/>
        <w:sectPr>
          <w:footnotePr>
            <w:pos w:val="pageBottom"/>
            <w:numFmt w:val="chicago"/>
            <w:numRestart w:val="eachPage"/>
          </w:footnotePr>
          <w:type w:val="continuous"/>
          <w:pgSz w:w="11906" w:h="16838"/>
          <w:pgMar w:top="622" w:left="1734" w:right="1206" w:bottom="651" w:header="0" w:footer="3" w:gutter="0"/>
          <w:rtlGutter w:val="0"/>
          <w:cols w:num="2" w:space="720" w:equalWidth="0">
            <w:col w:w="3600" w:space="754"/>
            <w:col w:w="4613"/>
          </w:cols>
          <w:noEndnote/>
          <w:docGrid w:linePitch="360"/>
        </w:sectPr>
      </w:pPr>
      <w:r>
        <w:rPr>
          <w:lang w:val="ru-RU" w:eastAsia="ru-RU" w:bidi="ru-RU"/>
          <w:w w:val="100"/>
          <w:spacing w:val="0"/>
          <w:color w:val="000000"/>
          <w:position w:val="0"/>
        </w:rPr>
        <w:t>620137, Свердловская область, г. Екатеринбург, Комсомольская, 21</w:t>
      </w:r>
    </w:p>
    <w:p>
      <w:pPr>
        <w:widowControl w:val="0"/>
        <w:spacing w:line="235"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227" w:line="259" w:lineRule="exact"/>
        <w:ind w:left="0" w:right="0" w:firstLine="0"/>
      </w:pPr>
      <w:r>
        <w:rPr>
          <w:lang w:val="ru-RU" w:eastAsia="ru-RU" w:bidi="ru-RU"/>
          <w:w w:val="100"/>
          <w:spacing w:val="0"/>
          <w:color w:val="000000"/>
          <w:position w:val="0"/>
        </w:rPr>
        <w:t xml:space="preserve">ул. Московская, 11, г. Екатеринбург, 620014 тел. (343) 377-00-83, факс (343) 377-00-84 </w:t>
      </w:r>
      <w:r>
        <w:rPr>
          <w:lang w:val="en-US" w:eastAsia="en-US" w:bidi="en-US"/>
          <w:w w:val="100"/>
          <w:spacing w:val="0"/>
          <w:color w:val="000000"/>
          <w:position w:val="0"/>
        </w:rPr>
        <w:t>e-mail:</w:t>
      </w:r>
      <w:r>
        <w:fldChar w:fldCharType="begin"/>
      </w:r>
      <w:r>
        <w:rPr>
          <w:color w:val="000000"/>
        </w:rPr>
        <w:instrText> HYPERLINK "mailto:to66@fas.gov.ru" </w:instrText>
      </w:r>
      <w:r>
        <w:fldChar w:fldCharType="separate"/>
      </w:r>
      <w:r>
        <w:rPr>
          <w:rStyle w:val="Hyperlink"/>
          <w:lang w:val="en-US" w:eastAsia="en-US" w:bidi="en-US"/>
          <w:w w:val="100"/>
          <w:spacing w:val="0"/>
          <w:position w:val="0"/>
        </w:rPr>
        <w:t xml:space="preserve"> to66@fas.gov.ru</w:t>
      </w:r>
      <w:r>
        <w:fldChar w:fldCharType="end"/>
      </w:r>
    </w:p>
    <w:p>
      <w:pPr>
        <w:pStyle w:val="Style9"/>
        <w:widowControl w:val="0"/>
        <w:keepNext w:val="0"/>
        <w:keepLines w:val="0"/>
        <w:shd w:val="clear" w:color="auto" w:fill="auto"/>
        <w:bidi w:val="0"/>
        <w:spacing w:before="0" w:after="0" w:line="200" w:lineRule="exact"/>
        <w:ind w:left="0" w:right="220" w:firstLine="0"/>
      </w:pPr>
      <w:r>
        <w:rPr>
          <w:lang w:val="en-US" w:eastAsia="en-US" w:bidi="en-US"/>
          <w:w w:val="100"/>
          <w:spacing w:val="0"/>
          <w:color w:val="000000"/>
          <w:position w:val="0"/>
        </w:rPr>
        <w:t>№</w:t>
      </w:r>
    </w:p>
    <w:p>
      <w:pPr>
        <w:pStyle w:val="Style9"/>
        <w:widowControl w:val="0"/>
        <w:keepNext w:val="0"/>
        <w:keepLines w:val="0"/>
        <w:shd w:val="clear" w:color="auto" w:fill="auto"/>
        <w:bidi w:val="0"/>
        <w:spacing w:before="0" w:after="37" w:line="200" w:lineRule="exact"/>
        <w:ind w:left="0" w:right="0" w:firstLine="0"/>
      </w:pPr>
      <w:r>
        <w:rPr>
          <w:lang w:val="ru-RU" w:eastAsia="ru-RU" w:bidi="ru-RU"/>
          <w:w w:val="100"/>
          <w:spacing w:val="0"/>
          <w:color w:val="000000"/>
          <w:position w:val="0"/>
        </w:rPr>
        <w:t>ООО «Победитель тендера»</w:t>
      </w:r>
    </w:p>
    <w:p>
      <w:pPr>
        <w:pStyle w:val="Style9"/>
        <w:widowControl w:val="0"/>
        <w:keepNext w:val="0"/>
        <w:keepLines w:val="0"/>
        <w:shd w:val="clear" w:color="auto" w:fill="auto"/>
        <w:bidi w:val="0"/>
        <w:spacing w:before="0" w:after="250" w:line="240" w:lineRule="exact"/>
        <w:ind w:left="20" w:right="0" w:firstLine="0"/>
      </w:pPr>
      <w:r>
        <w:rPr>
          <w:lang w:val="ru-RU" w:eastAsia="ru-RU" w:bidi="ru-RU"/>
          <w:w w:val="100"/>
          <w:spacing w:val="0"/>
          <w:color w:val="000000"/>
          <w:position w:val="0"/>
        </w:rPr>
        <w:t>620091, Свердловская обл., г. Екатеринбург, ул Корепина, дом 36, квартира 14</w:t>
      </w:r>
    </w:p>
    <w:p>
      <w:pPr>
        <w:pStyle w:val="Style9"/>
        <w:widowControl w:val="0"/>
        <w:keepNext w:val="0"/>
        <w:keepLines w:val="0"/>
        <w:shd w:val="clear" w:color="auto" w:fill="auto"/>
        <w:bidi w:val="0"/>
        <w:spacing w:before="0" w:after="0" w:line="302" w:lineRule="exact"/>
        <w:ind w:left="0" w:right="0" w:firstLine="0"/>
      </w:pPr>
      <w:r>
        <w:rPr>
          <w:lang w:val="ru-RU" w:eastAsia="ru-RU" w:bidi="ru-RU"/>
          <w:w w:val="100"/>
          <w:spacing w:val="0"/>
          <w:color w:val="000000"/>
          <w:position w:val="0"/>
        </w:rPr>
        <w:t>АО «ЕЭТП»</w:t>
      </w:r>
    </w:p>
    <w:p>
      <w:pPr>
        <w:pStyle w:val="Style9"/>
        <w:widowControl w:val="0"/>
        <w:keepNext w:val="0"/>
        <w:keepLines w:val="0"/>
        <w:shd w:val="clear" w:color="auto" w:fill="auto"/>
        <w:bidi w:val="0"/>
        <w:spacing w:before="0" w:after="0" w:line="302" w:lineRule="exact"/>
        <w:ind w:left="0" w:right="0" w:firstLine="0"/>
        <w:sectPr>
          <w:type w:val="continuous"/>
          <w:pgSz w:w="11906" w:h="16838"/>
          <w:pgMar w:top="622" w:left="1532" w:right="1249" w:bottom="651" w:header="0" w:footer="3" w:gutter="0"/>
          <w:rtlGutter w:val="0"/>
          <w:cols w:num="2" w:space="720" w:equalWidth="0">
            <w:col w:w="3979" w:space="629"/>
            <w:col w:w="4517"/>
          </w:cols>
          <w:noEndnote/>
          <w:docGrid w:linePitch="360"/>
        </w:sectPr>
      </w:pPr>
      <w:r>
        <w:rPr>
          <w:lang w:val="ru-RU" w:eastAsia="ru-RU" w:bidi="ru-RU"/>
          <w:w w:val="100"/>
          <w:spacing w:val="0"/>
          <w:color w:val="000000"/>
          <w:position w:val="0"/>
        </w:rPr>
        <w:t xml:space="preserve">115114, г. Москва, ул. Кожевническая, д. 14, стр. 5 </w:t>
      </w:r>
      <w:r>
        <w:fldChar w:fldCharType="begin"/>
      </w:r>
      <w:r>
        <w:rPr>
          <w:color w:val="000000"/>
        </w:rPr>
        <w:instrText> HYPERLINK "http://roseltorg.ru" </w:instrText>
      </w:r>
      <w:r>
        <w:fldChar w:fldCharType="separate"/>
      </w:r>
      <w:r>
        <w:rPr>
          <w:rStyle w:val="Hyperlink"/>
          <w:lang w:val="en-US" w:eastAsia="en-US" w:bidi="en-US"/>
          <w:w w:val="100"/>
          <w:spacing w:val="0"/>
          <w:position w:val="0"/>
        </w:rPr>
        <w:t>http://roseltorg.ru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104"/>
        <w:ind w:left="0" w:right="0" w:firstLine="0"/>
      </w:pPr>
      <w:r>
        <w:rPr>
          <w:lang w:val="ru-RU" w:eastAsia="ru-RU" w:bidi="ru-RU"/>
          <w:w w:val="100"/>
          <w:spacing w:val="0"/>
          <w:color w:val="000000"/>
          <w:position w:val="0"/>
        </w:rPr>
        <w:t>РЕШЕНИЕ по жалобе № 066/06/69-3812/2021</w:t>
      </w:r>
    </w:p>
    <w:p>
      <w:pPr>
        <w:pStyle w:val="Style9"/>
        <w:tabs>
          <w:tab w:leader="none" w:pos="8610" w:val="left"/>
        </w:tabs>
        <w:widowControl w:val="0"/>
        <w:keepNext w:val="0"/>
        <w:keepLines w:val="0"/>
        <w:shd w:val="clear" w:color="auto" w:fill="auto"/>
        <w:bidi w:val="0"/>
        <w:jc w:val="both"/>
        <w:spacing w:before="0" w:after="249" w:line="200" w:lineRule="exact"/>
        <w:ind w:left="220" w:right="0" w:firstLine="0"/>
      </w:pPr>
      <w:r>
        <w:rPr>
          <w:lang w:val="ru-RU" w:eastAsia="ru-RU" w:bidi="ru-RU"/>
          <w:w w:val="100"/>
          <w:spacing w:val="0"/>
          <w:color w:val="000000"/>
          <w:position w:val="0"/>
        </w:rPr>
        <w:t>г. Екатеринбург</w:t>
        <w:tab/>
        <w:t>21.10.2021</w:t>
      </w:r>
    </w:p>
    <w:p>
      <w:pPr>
        <w:pStyle w:val="Style9"/>
        <w:widowControl w:val="0"/>
        <w:keepNext w:val="0"/>
        <w:keepLines w:val="0"/>
        <w:shd w:val="clear" w:color="auto" w:fill="auto"/>
        <w:bidi w:val="0"/>
        <w:jc w:val="both"/>
        <w:spacing w:before="0" w:after="9" w:line="200" w:lineRule="exact"/>
        <w:ind w:left="20" w:right="0" w:firstLine="70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w:t>
      </w:r>
    </w:p>
    <w:p>
      <w:pPr>
        <w:pStyle w:val="Style9"/>
        <w:widowControl w:val="0"/>
        <w:keepNext w:val="0"/>
        <w:keepLines w:val="0"/>
        <w:shd w:val="clear" w:color="auto" w:fill="auto"/>
        <w:bidi w:val="0"/>
        <w:jc w:val="left"/>
        <w:spacing w:before="0" w:after="0" w:line="200" w:lineRule="exact"/>
        <w:ind w:left="20" w:right="0" w:firstLine="0"/>
      </w:pPr>
      <w:r>
        <w:rPr>
          <w:lang w:val="ru-RU" w:eastAsia="ru-RU" w:bidi="ru-RU"/>
          <w:w w:val="100"/>
          <w:spacing w:val="0"/>
          <w:color w:val="000000"/>
          <w:position w:val="0"/>
        </w:rPr>
        <w:t>в сфере закупок (далее по тексту - Комиссия) в составе:</w:t>
      </w:r>
    </w:p>
    <w:p>
      <w:pPr>
        <w:pStyle w:val="Style9"/>
        <w:widowControl w:val="0"/>
        <w:keepNext w:val="0"/>
        <w:keepLines w:val="0"/>
        <w:shd w:val="clear" w:color="auto" w:fill="auto"/>
        <w:bidi w:val="0"/>
        <w:jc w:val="both"/>
        <w:spacing w:before="0" w:after="0" w:line="200" w:lineRule="exact"/>
        <w:ind w:left="20" w:right="0" w:firstLine="700"/>
      </w:pPr>
      <w:r>
        <w:rPr>
          <w:lang w:val="ru-RU" w:eastAsia="ru-RU" w:bidi="ru-RU"/>
          <w:w w:val="100"/>
          <w:spacing w:val="0"/>
          <w:color w:val="000000"/>
          <w:position w:val="0"/>
        </w:rPr>
        <w:t>*</w:t>
      </w:r>
    </w:p>
    <w:p>
      <w:pPr>
        <w:pStyle w:val="Style9"/>
        <w:widowControl w:val="0"/>
        <w:keepNext w:val="0"/>
        <w:keepLines w:val="0"/>
        <w:shd w:val="clear" w:color="auto" w:fill="auto"/>
        <w:bidi w:val="0"/>
        <w:jc w:val="both"/>
        <w:spacing w:before="0" w:after="640" w:line="250" w:lineRule="exact"/>
        <w:ind w:left="20" w:right="20" w:firstLine="700"/>
      </w:pPr>
      <w:r>
        <w:rPr>
          <w:lang w:val="ru-RU" w:eastAsia="ru-RU" w:bidi="ru-RU"/>
          <w:w w:val="100"/>
          <w:spacing w:val="0"/>
          <w:color w:val="000000"/>
          <w:position w:val="0"/>
        </w:rPr>
        <w:t>рассмотрев жалобу ООО «Победитель тендера» (620091, Свердловская обл., г. Екатеринбург, ул Корепина, дом 36, квартира 14) о нарушении заказчиком в лице Федеральное государственное бюджетное образовательное учреждение высшего образования «Уральский государственный юридический университет» (620137, Свердловская область, г. Екатеринбург, Комсомольская, 21), его комиссией при осуществлении закупки путем проведения электронного аукциона на поставку моноблоков (извещение № 0362100014421000013,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9"/>
        <w:widowControl w:val="0"/>
        <w:keepNext w:val="0"/>
        <w:keepLines w:val="0"/>
        <w:shd w:val="clear" w:color="auto" w:fill="auto"/>
        <w:bidi w:val="0"/>
        <w:spacing w:before="0" w:after="217" w:line="200" w:lineRule="exact"/>
        <w:ind w:left="0" w:right="0" w:firstLine="0"/>
      </w:pPr>
      <w:r>
        <w:rPr>
          <w:lang w:val="ru-RU" w:eastAsia="ru-RU" w:bidi="ru-RU"/>
          <w:w w:val="100"/>
          <w:spacing w:val="0"/>
          <w:color w:val="000000"/>
          <w:position w:val="0"/>
        </w:rPr>
        <w:t>У С Т А Н О В И Л А:</w:t>
      </w:r>
    </w:p>
    <w:p>
      <w:pPr>
        <w:pStyle w:val="Style9"/>
        <w:widowControl w:val="0"/>
        <w:keepNext w:val="0"/>
        <w:keepLines w:val="0"/>
        <w:shd w:val="clear" w:color="auto" w:fill="auto"/>
        <w:bidi w:val="0"/>
        <w:jc w:val="both"/>
        <w:spacing w:before="0" w:after="0" w:line="240" w:lineRule="exact"/>
        <w:ind w:left="20" w:right="20" w:firstLine="70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«Победитель тендера» (вх. № 01-28446 от 18.10.2021) о нарушении заказчиком в лице Федерального государственного бюджетного образовательного учреждения высшего образования «Уральский государственный юридический университет», его комиссией при осуществлении закупки путем проведения электронного аукциона на поставку моноблоков (извещение № 0362100014421000013), Закона о контрактной системе, соответствующая требованиям статьи 105 Закона о контрактной системе.</w:t>
      </w:r>
    </w:p>
    <w:p>
      <w:pPr>
        <w:pStyle w:val="Style9"/>
        <w:widowControl w:val="0"/>
        <w:keepNext w:val="0"/>
        <w:keepLines w:val="0"/>
        <w:shd w:val="clear" w:color="auto" w:fill="auto"/>
        <w:bidi w:val="0"/>
        <w:jc w:val="both"/>
        <w:spacing w:before="0" w:after="0" w:line="240" w:lineRule="exact"/>
        <w:ind w:left="20" w:right="20" w:firstLine="700"/>
      </w:pPr>
      <w:r>
        <w:rPr>
          <w:lang w:val="ru-RU" w:eastAsia="ru-RU" w:bidi="ru-RU"/>
          <w:w w:val="100"/>
          <w:spacing w:val="0"/>
          <w:color w:val="000000"/>
          <w:position w:val="0"/>
        </w:rPr>
        <w:t>В своей жалобе заявитель ООО «Победитель тендера» указал, что аукционной комиссией проведена процедура рассмотрения вторых частей заявок с нарушением требований Закона о контрактной системе, просит признать жалобу обоснованной.</w:t>
      </w:r>
    </w:p>
    <w:p>
      <w:pPr>
        <w:pStyle w:val="Style9"/>
        <w:widowControl w:val="0"/>
        <w:keepNext w:val="0"/>
        <w:keepLines w:val="0"/>
        <w:shd w:val="clear" w:color="auto" w:fill="auto"/>
        <w:bidi w:val="0"/>
        <w:jc w:val="both"/>
        <w:spacing w:before="0" w:after="0" w:line="240" w:lineRule="exact"/>
        <w:ind w:left="20" w:right="0" w:firstLine="700"/>
      </w:pPr>
      <w:r>
        <w:rPr>
          <w:lang w:val="ru-RU" w:eastAsia="ru-RU" w:bidi="ru-RU"/>
          <w:w w:val="100"/>
          <w:spacing w:val="0"/>
          <w:color w:val="000000"/>
          <w:position w:val="0"/>
        </w:rPr>
        <w:t>Жалоба рассмотрена в порядке, предусмотренном ст.106 Закона о контрактной системе.</w:t>
      </w:r>
    </w:p>
    <w:p>
      <w:pPr>
        <w:pStyle w:val="Style9"/>
        <w:widowControl w:val="0"/>
        <w:keepNext w:val="0"/>
        <w:keepLines w:val="0"/>
        <w:shd w:val="clear" w:color="auto" w:fill="auto"/>
        <w:bidi w:val="0"/>
        <w:jc w:val="both"/>
        <w:spacing w:before="0" w:after="0" w:line="240" w:lineRule="exact"/>
        <w:ind w:left="20" w:right="20" w:firstLine="700"/>
      </w:pPr>
      <w:r>
        <w:rPr>
          <w:lang w:val="ru-RU" w:eastAsia="ru-RU" w:bidi="ru-RU"/>
          <w:w w:val="100"/>
          <w:spacing w:val="0"/>
          <w:color w:val="000000"/>
          <w:position w:val="0"/>
        </w:rPr>
        <w:t>Заслушав доводы представителя заказчика,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r>
        <w:br w:type="page"/>
      </w:r>
    </w:p>
    <w:p>
      <w:pPr>
        <w:pStyle w:val="Style9"/>
        <w:widowControl w:val="0"/>
        <w:keepNext w:val="0"/>
        <w:keepLines w:val="0"/>
        <w:shd w:val="clear" w:color="auto" w:fill="auto"/>
        <w:bidi w:val="0"/>
        <w:jc w:val="both"/>
        <w:spacing w:before="0" w:after="0" w:line="240" w:lineRule="exact"/>
        <w:ind w:left="20" w:right="200" w:firstLine="720"/>
      </w:pPr>
      <w:r>
        <w:rPr>
          <w:lang w:val="ru-RU" w:eastAsia="ru-RU" w:bidi="ru-RU"/>
          <w:w w:val="100"/>
          <w:spacing w:val="0"/>
          <w:color w:val="000000"/>
          <w:position w:val="0"/>
        </w:rPr>
        <w:t>04.10.2021г. на официальном сайте опубликовано извещение о проведении электронного аукциона № 0362100014421000013 и аукционная документация об аукционе на поставку моноблоков.</w:t>
      </w:r>
    </w:p>
    <w:p>
      <w:pPr>
        <w:pStyle w:val="Style9"/>
        <w:widowControl w:val="0"/>
        <w:keepNext w:val="0"/>
        <w:keepLines w:val="0"/>
        <w:shd w:val="clear" w:color="auto" w:fill="auto"/>
        <w:bidi w:val="0"/>
        <w:jc w:val="both"/>
        <w:spacing w:before="0" w:after="0" w:line="240" w:lineRule="exact"/>
        <w:ind w:left="20" w:right="0" w:firstLine="720"/>
      </w:pPr>
      <w:r>
        <w:rPr>
          <w:lang w:val="ru-RU" w:eastAsia="ru-RU" w:bidi="ru-RU"/>
          <w:w w:val="100"/>
          <w:spacing w:val="0"/>
          <w:color w:val="000000"/>
          <w:position w:val="0"/>
        </w:rPr>
        <w:t>Начальная (максимальная) цена контракта составила 5 612 550,00 рублей.</w:t>
      </w:r>
    </w:p>
    <w:p>
      <w:pPr>
        <w:pStyle w:val="Style9"/>
        <w:widowControl w:val="0"/>
        <w:keepNext w:val="0"/>
        <w:keepLines w:val="0"/>
        <w:shd w:val="clear" w:color="auto" w:fill="auto"/>
        <w:bidi w:val="0"/>
        <w:jc w:val="both"/>
        <w:spacing w:before="0" w:after="0" w:line="240" w:lineRule="exact"/>
        <w:ind w:left="20" w:right="200" w:firstLine="720"/>
      </w:pPr>
      <w:r>
        <w:rPr>
          <w:lang w:val="ru-RU" w:eastAsia="ru-RU" w:bidi="ru-RU"/>
          <w:w w:val="100"/>
          <w:spacing w:val="0"/>
          <w:color w:val="000000"/>
          <w:position w:val="0"/>
        </w:rPr>
        <w:t>15.10.202 аукционной комиссией была проведена процедура рассмотрения вторых частей заявок на участие в аукционе, по ее итогам составлен Протокол подведения итогов электронного аукциона от 15.10.2021 №0362100014421000013-3, подписанный присутствующими на заседании членами комиссии.</w:t>
      </w:r>
    </w:p>
    <w:p>
      <w:pPr>
        <w:pStyle w:val="Style9"/>
        <w:widowControl w:val="0"/>
        <w:keepNext w:val="0"/>
        <w:keepLines w:val="0"/>
        <w:shd w:val="clear" w:color="auto" w:fill="auto"/>
        <w:bidi w:val="0"/>
        <w:jc w:val="both"/>
        <w:spacing w:before="0" w:after="0" w:line="240" w:lineRule="exact"/>
        <w:ind w:left="20" w:right="200" w:firstLine="720"/>
      </w:pPr>
      <w:r>
        <w:rPr>
          <w:lang w:val="ru-RU" w:eastAsia="ru-RU" w:bidi="ru-RU"/>
          <w:w w:val="100"/>
          <w:spacing w:val="0"/>
          <w:color w:val="000000"/>
          <w:position w:val="0"/>
        </w:rPr>
        <w:t>В соответствии с указанным протоколом заявка с идентификационным номером 5 участника закупки ООО «Победитель тендера» признана не соответствующей требования закупочной документации на основании «Не предоставлена декларация о включении поставляемой продукции в единый реестр российской радиоэлектронной продукции с указанием номера реестровой записи».</w:t>
      </w:r>
    </w:p>
    <w:p>
      <w:pPr>
        <w:pStyle w:val="Style9"/>
        <w:widowControl w:val="0"/>
        <w:keepNext w:val="0"/>
        <w:keepLines w:val="0"/>
        <w:shd w:val="clear" w:color="auto" w:fill="auto"/>
        <w:bidi w:val="0"/>
        <w:jc w:val="both"/>
        <w:spacing w:before="0" w:after="0" w:line="240" w:lineRule="exact"/>
        <w:ind w:left="20" w:right="200" w:firstLine="720"/>
      </w:pPr>
      <w:r>
        <w:rPr>
          <w:lang w:val="ru-RU" w:eastAsia="ru-RU" w:bidi="ru-RU"/>
          <w:w w:val="100"/>
          <w:spacing w:val="0"/>
          <w:color w:val="000000"/>
          <w:position w:val="0"/>
        </w:rPr>
        <w:t>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9"/>
        <w:tabs>
          <w:tab w:leader="none" w:pos="9874" w:val="right"/>
        </w:tabs>
        <w:widowControl w:val="0"/>
        <w:keepNext w:val="0"/>
        <w:keepLines w:val="0"/>
        <w:shd w:val="clear" w:color="auto" w:fill="auto"/>
        <w:bidi w:val="0"/>
        <w:jc w:val="both"/>
        <w:spacing w:before="0" w:after="0" w:line="240" w:lineRule="exact"/>
        <w:ind w:left="20" w:right="200" w:firstLine="720"/>
      </w:pPr>
      <w:r>
        <w:rPr>
          <w:lang w:val="ru-RU" w:eastAsia="ru-RU" w:bidi="ru-RU"/>
          <w:w w:val="100"/>
          <w:spacing w:val="0"/>
          <w:color w:val="000000"/>
          <w:position w:val="0"/>
        </w:rPr>
        <w:t>В соответствии с п. 6 ч. 5 ст. 66 Закона о контрактной системе вторая часть заявки на участие в электронном аукционе должна содержать следующие документы и информацию:</w:t>
        <w:tab/>
        <w:t>документы,</w:t>
      </w:r>
    </w:p>
    <w:p>
      <w:pPr>
        <w:pStyle w:val="Style9"/>
        <w:widowControl w:val="0"/>
        <w:keepNext w:val="0"/>
        <w:keepLines w:val="0"/>
        <w:shd w:val="clear" w:color="auto" w:fill="auto"/>
        <w:bidi w:val="0"/>
        <w:jc w:val="both"/>
        <w:spacing w:before="0" w:after="0" w:line="240" w:lineRule="exact"/>
        <w:ind w:left="20" w:right="200" w:firstLine="0"/>
      </w:pPr>
      <w:r>
        <w:rPr>
          <w:lang w:val="ru-RU" w:eastAsia="ru-RU" w:bidi="ru-RU"/>
          <w:w w:val="100"/>
          <w:spacing w:val="0"/>
          <w:color w:val="000000"/>
          <w:position w:val="0"/>
        </w:rPr>
        <w:t>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widowControl w:val="0"/>
        <w:keepNext w:val="0"/>
        <w:keepLines w:val="0"/>
        <w:shd w:val="clear" w:color="auto" w:fill="auto"/>
        <w:bidi w:val="0"/>
        <w:jc w:val="both"/>
        <w:spacing w:before="0" w:after="0" w:line="240" w:lineRule="exact"/>
        <w:ind w:left="20" w:right="200" w:firstLine="720"/>
      </w:pPr>
      <w:r>
        <w:rPr>
          <w:lang w:val="ru-RU" w:eastAsia="ru-RU" w:bidi="ru-RU"/>
          <w:w w:val="100"/>
          <w:spacing w:val="0"/>
          <w:color w:val="000000"/>
          <w:position w:val="0"/>
        </w:rPr>
        <w:t>В соответствии с п. 3.3.21. Раздел II. «ИНФОРМАЦИОННАЯ КАРТА ЭЛЕКТРОННОГО АУКЦИОНА» вторая часть заявки на участие в электронном аукционе должна содержать следующие документы и информацию:</w:t>
      </w:r>
    </w:p>
    <w:p>
      <w:pPr>
        <w:pStyle w:val="Style9"/>
        <w:widowControl w:val="0"/>
        <w:keepNext w:val="0"/>
        <w:keepLines w:val="0"/>
        <w:shd w:val="clear" w:color="auto" w:fill="auto"/>
        <w:bidi w:val="0"/>
        <w:jc w:val="both"/>
        <w:spacing w:before="0" w:after="0" w:line="240" w:lineRule="exact"/>
        <w:ind w:left="20" w:right="200" w:firstLine="720"/>
      </w:pPr>
      <w:r>
        <w:rPr>
          <w:lang w:val="ru-RU" w:eastAsia="ru-RU" w:bidi="ru-RU"/>
          <w:w w:val="100"/>
          <w:spacing w:val="0"/>
          <w:color w:val="000000"/>
          <w:position w:val="0"/>
        </w:rPr>
        <w:t>6) документы, предусмотренные нормативными правовыми актами, принятыми в соответствии со статьей 14 Федерального закона, в случае закупки товаров,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w:t>
      </w:r>
    </w:p>
    <w:p>
      <w:pPr>
        <w:pStyle w:val="Style9"/>
        <w:widowControl w:val="0"/>
        <w:keepNext w:val="0"/>
        <w:keepLines w:val="0"/>
        <w:shd w:val="clear" w:color="auto" w:fill="auto"/>
        <w:bidi w:val="0"/>
        <w:jc w:val="both"/>
        <w:spacing w:before="0" w:after="0" w:line="240" w:lineRule="exact"/>
        <w:ind w:left="20" w:right="200" w:firstLine="720"/>
      </w:pPr>
      <w:r>
        <w:rPr>
          <w:lang w:val="ru-RU" w:eastAsia="ru-RU" w:bidi="ru-RU"/>
          <w:w w:val="100"/>
          <w:spacing w:val="0"/>
          <w:color w:val="000000"/>
          <w:position w:val="0"/>
        </w:rPr>
        <w:t xml:space="preserve">-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11"/>
        <w:framePr w:w="9941" w:wrap="notBeside" w:vAnchor="text" w:hAnchor="text" w:xAlign="center" w:y="1"/>
        <w:widowControl w:val="0"/>
        <w:keepNext w:val="0"/>
        <w:keepLines w:val="0"/>
        <w:shd w:val="clear" w:color="auto" w:fill="auto"/>
        <w:bidi w:val="0"/>
        <w:jc w:val="left"/>
        <w:spacing w:before="0" w:after="0" w:line="200" w:lineRule="exact"/>
        <w:ind w:left="0" w:right="0" w:firstLine="0"/>
      </w:pPr>
      <w:r>
        <w:rPr>
          <w:rStyle w:val="CharStyle13"/>
        </w:rPr>
        <w:t>В п.3 Раздела 2 закупочной документации установлено описание объекта закупки:</w:t>
      </w:r>
    </w:p>
    <w:tbl>
      <w:tblPr>
        <w:tblOverlap w:val="never"/>
        <w:tblLayout w:type="fixed"/>
        <w:jc w:val="center"/>
      </w:tblPr>
      <w:tblGrid>
        <w:gridCol w:w="149"/>
        <w:gridCol w:w="451"/>
        <w:gridCol w:w="2429"/>
        <w:gridCol w:w="5059"/>
        <w:gridCol w:w="854"/>
        <w:gridCol w:w="835"/>
        <w:gridCol w:w="163"/>
      </w:tblGrid>
      <w:tr>
        <w:trPr>
          <w:trHeight w:val="528" w:hRule="exact"/>
        </w:trPr>
        <w:tc>
          <w:tcPr>
            <w:shd w:val="clear" w:color="auto" w:fill="FFFFFF"/>
            <w:gridSpan w:val="2"/>
            <w:tcBorders>
              <w:left w:val="single" w:sz="4"/>
              <w:top w:val="single" w:sz="4"/>
            </w:tcBorders>
            <w:vAlign w:val="top"/>
          </w:tcPr>
          <w:p>
            <w:pPr>
              <w:pStyle w:val="Style9"/>
              <w:framePr w:w="9941" w:wrap="notBeside" w:vAnchor="text" w:hAnchor="text" w:xAlign="center" w:y="1"/>
              <w:widowControl w:val="0"/>
              <w:keepNext w:val="0"/>
              <w:keepLines w:val="0"/>
              <w:shd w:val="clear" w:color="auto" w:fill="auto"/>
              <w:bidi w:val="0"/>
              <w:jc w:val="left"/>
              <w:spacing w:before="0" w:after="0" w:line="200" w:lineRule="exact"/>
              <w:ind w:left="220" w:right="0" w:firstLine="0"/>
            </w:pPr>
            <w:r>
              <w:rPr>
                <w:rStyle w:val="CharStyle14"/>
              </w:rPr>
              <w:t>3.</w:t>
            </w:r>
          </w:p>
        </w:tc>
        <w:tc>
          <w:tcPr>
            <w:shd w:val="clear" w:color="auto" w:fill="FFFFFF"/>
            <w:gridSpan w:val="5"/>
            <w:tcBorders>
              <w:left w:val="single" w:sz="4"/>
              <w:right w:val="single" w:sz="4"/>
              <w:top w:val="single" w:sz="4"/>
            </w:tcBorders>
            <w:vAlign w:val="bottom"/>
          </w:tcPr>
          <w:p>
            <w:pPr>
              <w:pStyle w:val="Style9"/>
              <w:framePr w:w="9941" w:wrap="notBeside" w:vAnchor="text" w:hAnchor="text" w:xAlign="center" w:y="1"/>
              <w:widowControl w:val="0"/>
              <w:keepNext w:val="0"/>
              <w:keepLines w:val="0"/>
              <w:shd w:val="clear" w:color="auto" w:fill="auto"/>
              <w:bidi w:val="0"/>
              <w:jc w:val="left"/>
              <w:spacing w:before="0" w:after="0" w:line="250" w:lineRule="exact"/>
              <w:ind w:left="80" w:right="0" w:firstLine="0"/>
            </w:pPr>
            <w:r>
              <w:rPr>
                <w:rStyle w:val="CharStyle14"/>
              </w:rPr>
              <w:t>Наименование и описание объекта Поставка моноблоков: закупки</w:t>
            </w:r>
          </w:p>
        </w:tc>
      </w:tr>
      <w:tr>
        <w:trPr>
          <w:trHeight w:val="518" w:hRule="exact"/>
        </w:trPr>
        <w:tc>
          <w:tcPr>
            <w:shd w:val="clear" w:color="auto" w:fill="FFFFFF"/>
            <w:vMerge w:val="restart"/>
            <w:tcBorders>
              <w:left w:val="single" w:sz="4"/>
              <w:top w:val="single" w:sz="4"/>
            </w:tcBorders>
            <w:vAlign w:val="top"/>
          </w:tcPr>
          <w:p>
            <w:pPr>
              <w:framePr w:w="994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9"/>
              <w:framePr w:w="994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14"/>
              </w:rPr>
              <w:t>№</w:t>
            </w:r>
          </w:p>
        </w:tc>
        <w:tc>
          <w:tcPr>
            <w:shd w:val="clear" w:color="auto" w:fill="FFFFFF"/>
            <w:tcBorders>
              <w:left w:val="single" w:sz="4"/>
              <w:top w:val="single" w:sz="4"/>
            </w:tcBorders>
            <w:vAlign w:val="center"/>
          </w:tcPr>
          <w:p>
            <w:pPr>
              <w:pStyle w:val="Style9"/>
              <w:framePr w:w="9941" w:wrap="notBeside" w:vAnchor="text" w:hAnchor="text" w:xAlign="center" w:y="1"/>
              <w:widowControl w:val="0"/>
              <w:keepNext w:val="0"/>
              <w:keepLines w:val="0"/>
              <w:shd w:val="clear" w:color="auto" w:fill="auto"/>
              <w:bidi w:val="0"/>
              <w:spacing w:before="0" w:after="0" w:line="200" w:lineRule="exact"/>
              <w:ind w:left="0" w:right="0" w:firstLine="0"/>
            </w:pPr>
            <w:r>
              <w:rPr>
                <w:rStyle w:val="CharStyle14"/>
              </w:rPr>
              <w:t>Наименование</w:t>
            </w:r>
          </w:p>
        </w:tc>
        <w:tc>
          <w:tcPr>
            <w:shd w:val="clear" w:color="auto" w:fill="FFFFFF"/>
            <w:tcBorders>
              <w:left w:val="single" w:sz="4"/>
              <w:top w:val="single" w:sz="4"/>
            </w:tcBorders>
            <w:vAlign w:val="center"/>
          </w:tcPr>
          <w:p>
            <w:pPr>
              <w:pStyle w:val="Style9"/>
              <w:framePr w:w="9941" w:wrap="notBeside" w:vAnchor="text" w:hAnchor="text" w:xAlign="center" w:y="1"/>
              <w:widowControl w:val="0"/>
              <w:keepNext w:val="0"/>
              <w:keepLines w:val="0"/>
              <w:shd w:val="clear" w:color="auto" w:fill="auto"/>
              <w:bidi w:val="0"/>
              <w:spacing w:before="0" w:after="0" w:line="200" w:lineRule="exact"/>
              <w:ind w:left="0" w:right="0" w:firstLine="0"/>
            </w:pPr>
            <w:r>
              <w:rPr>
                <w:rStyle w:val="CharStyle14"/>
              </w:rPr>
              <w:t>Описание</w:t>
            </w:r>
          </w:p>
        </w:tc>
        <w:tc>
          <w:tcPr>
            <w:shd w:val="clear" w:color="auto" w:fill="FFFFFF"/>
            <w:tcBorders>
              <w:left w:val="single" w:sz="4"/>
              <w:top w:val="single" w:sz="4"/>
            </w:tcBorders>
            <w:vAlign w:val="bottom"/>
          </w:tcPr>
          <w:p>
            <w:pPr>
              <w:pStyle w:val="Style9"/>
              <w:framePr w:w="9941" w:wrap="notBeside" w:vAnchor="text" w:hAnchor="text" w:xAlign="center" w:y="1"/>
              <w:widowControl w:val="0"/>
              <w:keepNext w:val="0"/>
              <w:keepLines w:val="0"/>
              <w:shd w:val="clear" w:color="auto" w:fill="auto"/>
              <w:bidi w:val="0"/>
              <w:jc w:val="left"/>
              <w:spacing w:before="0" w:after="60" w:line="200" w:lineRule="exact"/>
              <w:ind w:left="280" w:right="0" w:firstLine="0"/>
            </w:pPr>
            <w:r>
              <w:rPr>
                <w:rStyle w:val="CharStyle14"/>
              </w:rPr>
              <w:t>Ед.</w:t>
            </w:r>
          </w:p>
          <w:p>
            <w:pPr>
              <w:pStyle w:val="Style9"/>
              <w:framePr w:w="9941" w:wrap="notBeside" w:vAnchor="text" w:hAnchor="text" w:xAlign="center" w:y="1"/>
              <w:widowControl w:val="0"/>
              <w:keepNext w:val="0"/>
              <w:keepLines w:val="0"/>
              <w:shd w:val="clear" w:color="auto" w:fill="auto"/>
              <w:bidi w:val="0"/>
              <w:spacing w:before="60" w:after="0" w:line="200" w:lineRule="exact"/>
              <w:ind w:left="0" w:right="0" w:firstLine="0"/>
            </w:pPr>
            <w:r>
              <w:rPr>
                <w:rStyle w:val="CharStyle14"/>
              </w:rPr>
              <w:t>изм</w:t>
            </w:r>
          </w:p>
        </w:tc>
        <w:tc>
          <w:tcPr>
            <w:shd w:val="clear" w:color="auto" w:fill="FFFFFF"/>
            <w:tcBorders>
              <w:left w:val="single" w:sz="4"/>
              <w:top w:val="single" w:sz="4"/>
            </w:tcBorders>
            <w:vAlign w:val="bottom"/>
          </w:tcPr>
          <w:p>
            <w:pPr>
              <w:pStyle w:val="Style9"/>
              <w:framePr w:w="9941" w:wrap="notBeside" w:vAnchor="text" w:hAnchor="text" w:xAlign="center" w:y="1"/>
              <w:widowControl w:val="0"/>
              <w:keepNext w:val="0"/>
              <w:keepLines w:val="0"/>
              <w:shd w:val="clear" w:color="auto" w:fill="auto"/>
              <w:bidi w:val="0"/>
              <w:spacing w:before="0" w:after="120" w:line="200" w:lineRule="exact"/>
              <w:ind w:left="0" w:right="0" w:firstLine="0"/>
            </w:pPr>
            <w:r>
              <w:rPr>
                <w:rStyle w:val="CharStyle14"/>
              </w:rPr>
              <w:t>Кол-</w:t>
            </w:r>
          </w:p>
          <w:p>
            <w:pPr>
              <w:pStyle w:val="Style9"/>
              <w:framePr w:w="9941" w:wrap="notBeside" w:vAnchor="text" w:hAnchor="text" w:xAlign="center" w:y="1"/>
              <w:widowControl w:val="0"/>
              <w:keepNext w:val="0"/>
              <w:keepLines w:val="0"/>
              <w:shd w:val="clear" w:color="auto" w:fill="auto"/>
              <w:bidi w:val="0"/>
              <w:spacing w:after="0" w:line="200" w:lineRule="exact"/>
              <w:ind w:left="0" w:right="0" w:firstLine="0"/>
            </w:pPr>
            <w:r>
              <w:rPr>
                <w:rStyle w:val="CharStyle14"/>
              </w:rPr>
              <w:t>во</w:t>
            </w:r>
          </w:p>
        </w:tc>
        <w:tc>
          <w:tcPr>
            <w:shd w:val="clear" w:color="auto" w:fill="FFFFFF"/>
            <w:vMerge w:val="restart"/>
            <w:tcBorders>
              <w:left w:val="single" w:sz="4"/>
              <w:right w:val="single" w:sz="4"/>
              <w:top w:val="single" w:sz="4"/>
            </w:tcBorders>
            <w:vAlign w:val="top"/>
          </w:tcPr>
          <w:p>
            <w:pPr>
              <w:framePr w:w="9941" w:wrap="notBeside" w:vAnchor="text" w:hAnchor="text" w:xAlign="center" w:y="1"/>
              <w:widowControl w:val="0"/>
              <w:rPr>
                <w:sz w:val="10"/>
                <w:szCs w:val="10"/>
              </w:rPr>
            </w:pPr>
          </w:p>
        </w:tc>
      </w:tr>
      <w:tr>
        <w:trPr>
          <w:trHeight w:val="3322" w:hRule="exact"/>
        </w:trPr>
        <w:tc>
          <w:tcPr>
            <w:shd w:val="clear" w:color="auto" w:fill="FFFFFF"/>
            <w:vMerge/>
            <w:tcBorders>
              <w:left w:val="single" w:sz="4"/>
              <w:bottom w:val="single" w:sz="4"/>
            </w:tcBorders>
            <w:vAlign w:val="top"/>
          </w:tcPr>
          <w:p>
            <w:pPr>
              <w:framePr w:w="9941" w:wrap="notBeside" w:vAnchor="text" w:hAnchor="text" w:xAlign="center" w:y="1"/>
            </w:pPr>
          </w:p>
        </w:tc>
        <w:tc>
          <w:tcPr>
            <w:shd w:val="clear" w:color="auto" w:fill="FFFFFF"/>
            <w:tcBorders>
              <w:left w:val="single" w:sz="4"/>
              <w:top w:val="single" w:sz="4"/>
              <w:bottom w:val="single" w:sz="4"/>
            </w:tcBorders>
            <w:vAlign w:val="center"/>
          </w:tcPr>
          <w:p>
            <w:pPr>
              <w:pStyle w:val="Style9"/>
              <w:framePr w:w="9941" w:wrap="notBeside" w:vAnchor="text" w:hAnchor="text" w:xAlign="center" w:y="1"/>
              <w:widowControl w:val="0"/>
              <w:keepNext w:val="0"/>
              <w:keepLines w:val="0"/>
              <w:shd w:val="clear" w:color="auto" w:fill="auto"/>
              <w:bidi w:val="0"/>
              <w:jc w:val="left"/>
              <w:spacing w:before="0" w:after="0" w:line="200" w:lineRule="exact"/>
              <w:ind w:left="200" w:right="0" w:firstLine="0"/>
            </w:pPr>
            <w:r>
              <w:rPr>
                <w:rStyle w:val="CharStyle14"/>
              </w:rPr>
              <w:t>1</w:t>
            </w:r>
          </w:p>
        </w:tc>
        <w:tc>
          <w:tcPr>
            <w:shd w:val="clear" w:color="auto" w:fill="FFFFFF"/>
            <w:tcBorders>
              <w:left w:val="single" w:sz="4"/>
              <w:top w:val="single" w:sz="4"/>
              <w:bottom w:val="single" w:sz="4"/>
            </w:tcBorders>
            <w:vAlign w:val="center"/>
          </w:tcPr>
          <w:p>
            <w:pPr>
              <w:pStyle w:val="Style9"/>
              <w:framePr w:w="9941" w:wrap="notBeside" w:vAnchor="text" w:hAnchor="text" w:xAlign="center" w:y="1"/>
              <w:widowControl w:val="0"/>
              <w:keepNext w:val="0"/>
              <w:keepLines w:val="0"/>
              <w:shd w:val="clear" w:color="auto" w:fill="auto"/>
              <w:bidi w:val="0"/>
              <w:spacing w:before="0" w:after="0" w:line="200" w:lineRule="exact"/>
              <w:ind w:left="0" w:right="0" w:firstLine="0"/>
            </w:pPr>
            <w:r>
              <w:rPr>
                <w:rStyle w:val="CharStyle14"/>
              </w:rPr>
              <w:t>Моноблок</w:t>
            </w:r>
          </w:p>
        </w:tc>
        <w:tc>
          <w:tcPr>
            <w:shd w:val="clear" w:color="auto" w:fill="FFFFFF"/>
            <w:tcBorders>
              <w:left w:val="single" w:sz="4"/>
              <w:top w:val="single" w:sz="4"/>
              <w:bottom w:val="single" w:sz="4"/>
            </w:tcBorders>
            <w:vAlign w:val="top"/>
          </w:tcPr>
          <w:p>
            <w:pPr>
              <w:pStyle w:val="Style9"/>
              <w:framePr w:w="9941"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4"/>
              </w:rPr>
              <w:t>Форм-фактор: моноблок</w:t>
            </w:r>
          </w:p>
          <w:p>
            <w:pPr>
              <w:pStyle w:val="Style9"/>
              <w:numPr>
                <w:ilvl w:val="0"/>
                <w:numId w:val="1"/>
              </w:numPr>
              <w:framePr w:w="9941" w:wrap="notBeside" w:vAnchor="text" w:hAnchor="text" w:xAlign="center" w:y="1"/>
              <w:tabs>
                <w:tab w:leader="none" w:pos="250" w:val="left"/>
              </w:tabs>
              <w:widowControl w:val="0"/>
              <w:keepNext w:val="0"/>
              <w:keepLines w:val="0"/>
              <w:shd w:val="clear" w:color="auto" w:fill="auto"/>
              <w:bidi w:val="0"/>
              <w:jc w:val="left"/>
              <w:spacing w:before="0" w:after="0" w:line="250" w:lineRule="exact"/>
              <w:ind w:left="120" w:right="0" w:firstLine="0"/>
            </w:pPr>
            <w:r>
              <w:rPr>
                <w:rStyle w:val="CharStyle14"/>
              </w:rPr>
              <w:t>базовая тактовая частота процессора не менее 2 900 МГц</w:t>
            </w:r>
          </w:p>
          <w:p>
            <w:pPr>
              <w:pStyle w:val="Style9"/>
              <w:numPr>
                <w:ilvl w:val="0"/>
                <w:numId w:val="1"/>
              </w:numPr>
              <w:framePr w:w="9941" w:wrap="notBeside" w:vAnchor="text" w:hAnchor="text" w:xAlign="center" w:y="1"/>
              <w:tabs>
                <w:tab w:leader="none" w:pos="125" w:val="left"/>
              </w:tabs>
              <w:widowControl w:val="0"/>
              <w:keepNext w:val="0"/>
              <w:keepLines w:val="0"/>
              <w:shd w:val="clear" w:color="auto" w:fill="auto"/>
              <w:bidi w:val="0"/>
              <w:jc w:val="both"/>
              <w:spacing w:before="0" w:after="0" w:line="250" w:lineRule="exact"/>
              <w:ind w:left="0" w:right="0" w:firstLine="0"/>
            </w:pPr>
            <w:r>
              <w:rPr>
                <w:rStyle w:val="CharStyle14"/>
              </w:rPr>
              <w:t>количество ядер процессора не менее 6</w:t>
            </w:r>
          </w:p>
          <w:p>
            <w:pPr>
              <w:pStyle w:val="Style9"/>
              <w:numPr>
                <w:ilvl w:val="0"/>
                <w:numId w:val="1"/>
              </w:numPr>
              <w:framePr w:w="9941" w:wrap="notBeside" w:vAnchor="text" w:hAnchor="text" w:xAlign="center" w:y="1"/>
              <w:tabs>
                <w:tab w:leader="none" w:pos="125" w:val="left"/>
              </w:tabs>
              <w:widowControl w:val="0"/>
              <w:keepNext w:val="0"/>
              <w:keepLines w:val="0"/>
              <w:shd w:val="clear" w:color="auto" w:fill="auto"/>
              <w:bidi w:val="0"/>
              <w:jc w:val="both"/>
              <w:spacing w:before="0" w:after="0" w:line="250" w:lineRule="exact"/>
              <w:ind w:left="0" w:right="0" w:firstLine="0"/>
            </w:pPr>
            <w:r>
              <w:rPr>
                <w:rStyle w:val="CharStyle14"/>
              </w:rPr>
              <w:t>количество потоков процессора не менее 6</w:t>
            </w:r>
          </w:p>
          <w:p>
            <w:pPr>
              <w:pStyle w:val="Style9"/>
              <w:numPr>
                <w:ilvl w:val="0"/>
                <w:numId w:val="1"/>
              </w:numPr>
              <w:framePr w:w="9941" w:wrap="notBeside" w:vAnchor="text" w:hAnchor="text" w:xAlign="center" w:y="1"/>
              <w:tabs>
                <w:tab w:leader="none" w:pos="245" w:val="left"/>
              </w:tabs>
              <w:widowControl w:val="0"/>
              <w:keepNext w:val="0"/>
              <w:keepLines w:val="0"/>
              <w:shd w:val="clear" w:color="auto" w:fill="auto"/>
              <w:bidi w:val="0"/>
              <w:jc w:val="left"/>
              <w:spacing w:before="0" w:after="0" w:line="250" w:lineRule="exact"/>
              <w:ind w:left="120" w:right="0" w:firstLine="0"/>
            </w:pPr>
            <w:r>
              <w:rPr>
                <w:rStyle w:val="CharStyle14"/>
              </w:rPr>
              <w:t xml:space="preserve">объем кэш памяти третьего уровня процессора </w:t>
            </w:r>
            <w:r>
              <w:rPr>
                <w:rStyle w:val="CharStyle14"/>
                <w:lang w:val="en-US" w:eastAsia="en-US" w:bidi="en-US"/>
              </w:rPr>
              <w:t xml:space="preserve">(L3) </w:t>
            </w:r>
            <w:r>
              <w:rPr>
                <w:rStyle w:val="CharStyle14"/>
              </w:rPr>
              <w:t>не менее 9 Мбит</w:t>
            </w:r>
          </w:p>
          <w:p>
            <w:pPr>
              <w:pStyle w:val="Style9"/>
              <w:numPr>
                <w:ilvl w:val="0"/>
                <w:numId w:val="1"/>
              </w:numPr>
              <w:framePr w:w="9941" w:wrap="notBeside" w:vAnchor="text" w:hAnchor="text" w:xAlign="center" w:y="1"/>
              <w:tabs>
                <w:tab w:leader="none" w:pos="125" w:val="left"/>
              </w:tabs>
              <w:widowControl w:val="0"/>
              <w:keepNext w:val="0"/>
              <w:keepLines w:val="0"/>
              <w:shd w:val="clear" w:color="auto" w:fill="auto"/>
              <w:bidi w:val="0"/>
              <w:jc w:val="both"/>
              <w:spacing w:before="0" w:after="0" w:line="250" w:lineRule="exact"/>
              <w:ind w:left="0" w:right="0" w:firstLine="0"/>
            </w:pPr>
            <w:r>
              <w:rPr>
                <w:rStyle w:val="CharStyle14"/>
              </w:rPr>
              <w:t>интегрированное графическое ядро</w:t>
            </w:r>
          </w:p>
          <w:p>
            <w:pPr>
              <w:pStyle w:val="Style9"/>
              <w:numPr>
                <w:ilvl w:val="0"/>
                <w:numId w:val="1"/>
              </w:numPr>
              <w:framePr w:w="9941" w:wrap="notBeside" w:vAnchor="text" w:hAnchor="text" w:xAlign="center" w:y="1"/>
              <w:tabs>
                <w:tab w:leader="none" w:pos="120" w:val="left"/>
              </w:tabs>
              <w:widowControl w:val="0"/>
              <w:keepNext w:val="0"/>
              <w:keepLines w:val="0"/>
              <w:shd w:val="clear" w:color="auto" w:fill="auto"/>
              <w:bidi w:val="0"/>
              <w:jc w:val="both"/>
              <w:spacing w:before="0" w:after="0" w:line="250" w:lineRule="exact"/>
              <w:ind w:left="0" w:right="0" w:firstLine="0"/>
            </w:pPr>
            <w:r>
              <w:rPr>
                <w:rStyle w:val="CharStyle14"/>
              </w:rPr>
              <w:t xml:space="preserve">тип оперативной памяти: </w:t>
            </w:r>
            <w:r>
              <w:rPr>
                <w:rStyle w:val="CharStyle14"/>
                <w:lang w:val="en-US" w:eastAsia="en-US" w:bidi="en-US"/>
              </w:rPr>
              <w:t>DDR4</w:t>
            </w:r>
          </w:p>
          <w:p>
            <w:pPr>
              <w:pStyle w:val="Style9"/>
              <w:numPr>
                <w:ilvl w:val="0"/>
                <w:numId w:val="1"/>
              </w:numPr>
              <w:framePr w:w="9941" w:wrap="notBeside" w:vAnchor="text" w:hAnchor="text" w:xAlign="center" w:y="1"/>
              <w:tabs>
                <w:tab w:leader="none" w:pos="125" w:val="left"/>
              </w:tabs>
              <w:widowControl w:val="0"/>
              <w:keepNext w:val="0"/>
              <w:keepLines w:val="0"/>
              <w:shd w:val="clear" w:color="auto" w:fill="auto"/>
              <w:bidi w:val="0"/>
              <w:jc w:val="both"/>
              <w:spacing w:before="0" w:after="0" w:line="250" w:lineRule="exact"/>
              <w:ind w:left="0" w:right="0" w:firstLine="0"/>
            </w:pPr>
            <w:r>
              <w:rPr>
                <w:rStyle w:val="CharStyle14"/>
              </w:rPr>
              <w:t>объём оперативной памяти не менее 8 Гб</w:t>
            </w:r>
          </w:p>
          <w:p>
            <w:pPr>
              <w:pStyle w:val="Style9"/>
              <w:numPr>
                <w:ilvl w:val="0"/>
                <w:numId w:val="1"/>
              </w:numPr>
              <w:framePr w:w="9941" w:wrap="notBeside" w:vAnchor="text" w:hAnchor="text" w:xAlign="center" w:y="1"/>
              <w:tabs>
                <w:tab w:leader="none" w:pos="245" w:val="left"/>
              </w:tabs>
              <w:widowControl w:val="0"/>
              <w:keepNext w:val="0"/>
              <w:keepLines w:val="0"/>
              <w:shd w:val="clear" w:color="auto" w:fill="auto"/>
              <w:bidi w:val="0"/>
              <w:jc w:val="left"/>
              <w:spacing w:before="0" w:after="0" w:line="250" w:lineRule="exact"/>
              <w:ind w:left="120" w:right="0" w:firstLine="0"/>
            </w:pPr>
            <w:r>
              <w:rPr>
                <w:rStyle w:val="CharStyle14"/>
              </w:rPr>
              <w:t>тактовая частота оперативной памяти не менее 2400 МГц</w:t>
            </w:r>
          </w:p>
          <w:p>
            <w:pPr>
              <w:pStyle w:val="Style9"/>
              <w:numPr>
                <w:ilvl w:val="0"/>
                <w:numId w:val="1"/>
              </w:numPr>
              <w:framePr w:w="9941" w:wrap="notBeside" w:vAnchor="text" w:hAnchor="text" w:xAlign="center" w:y="1"/>
              <w:tabs>
                <w:tab w:leader="none" w:pos="125" w:val="left"/>
              </w:tabs>
              <w:widowControl w:val="0"/>
              <w:keepNext w:val="0"/>
              <w:keepLines w:val="0"/>
              <w:shd w:val="clear" w:color="auto" w:fill="auto"/>
              <w:bidi w:val="0"/>
              <w:jc w:val="both"/>
              <w:spacing w:before="0" w:after="0" w:line="250" w:lineRule="exact"/>
              <w:ind w:left="0" w:right="0" w:firstLine="0"/>
            </w:pPr>
            <w:r>
              <w:rPr>
                <w:rStyle w:val="CharStyle14"/>
              </w:rPr>
              <w:t xml:space="preserve">объём накопителя </w:t>
            </w:r>
            <w:r>
              <w:rPr>
                <w:rStyle w:val="CharStyle14"/>
                <w:lang w:val="en-US" w:eastAsia="en-US" w:bidi="en-US"/>
              </w:rPr>
              <w:t xml:space="preserve">SSD </w:t>
            </w:r>
            <w:r>
              <w:rPr>
                <w:rStyle w:val="CharStyle14"/>
              </w:rPr>
              <w:t>не менее 480 ГБ</w:t>
            </w:r>
          </w:p>
        </w:tc>
        <w:tc>
          <w:tcPr>
            <w:shd w:val="clear" w:color="auto" w:fill="FFFFFF"/>
            <w:tcBorders>
              <w:left w:val="single" w:sz="4"/>
              <w:top w:val="single" w:sz="4"/>
              <w:bottom w:val="single" w:sz="4"/>
            </w:tcBorders>
            <w:vAlign w:val="center"/>
          </w:tcPr>
          <w:p>
            <w:pPr>
              <w:pStyle w:val="Style9"/>
              <w:framePr w:w="9941" w:wrap="notBeside" w:vAnchor="text" w:hAnchor="text" w:xAlign="center" w:y="1"/>
              <w:widowControl w:val="0"/>
              <w:keepNext w:val="0"/>
              <w:keepLines w:val="0"/>
              <w:shd w:val="clear" w:color="auto" w:fill="auto"/>
              <w:bidi w:val="0"/>
              <w:spacing w:before="0" w:after="0" w:line="200" w:lineRule="exact"/>
              <w:ind w:left="0" w:right="0" w:firstLine="0"/>
            </w:pPr>
            <w:r>
              <w:rPr>
                <w:rStyle w:val="CharStyle14"/>
              </w:rPr>
              <w:t>шт</w:t>
            </w:r>
          </w:p>
        </w:tc>
        <w:tc>
          <w:tcPr>
            <w:shd w:val="clear" w:color="auto" w:fill="FFFFFF"/>
            <w:tcBorders>
              <w:left w:val="single" w:sz="4"/>
              <w:top w:val="single" w:sz="4"/>
              <w:bottom w:val="single" w:sz="4"/>
            </w:tcBorders>
            <w:vAlign w:val="center"/>
          </w:tcPr>
          <w:p>
            <w:pPr>
              <w:pStyle w:val="Style9"/>
              <w:framePr w:w="9941" w:wrap="notBeside" w:vAnchor="text" w:hAnchor="text" w:xAlign="center" w:y="1"/>
              <w:widowControl w:val="0"/>
              <w:keepNext w:val="0"/>
              <w:keepLines w:val="0"/>
              <w:shd w:val="clear" w:color="auto" w:fill="auto"/>
              <w:bidi w:val="0"/>
              <w:spacing w:before="0" w:after="0" w:line="200" w:lineRule="exact"/>
              <w:ind w:left="0" w:right="0" w:firstLine="0"/>
            </w:pPr>
            <w:r>
              <w:rPr>
                <w:rStyle w:val="CharStyle14"/>
              </w:rPr>
              <w:t>71</w:t>
            </w:r>
          </w:p>
        </w:tc>
        <w:tc>
          <w:tcPr>
            <w:shd w:val="clear" w:color="auto" w:fill="FFFFFF"/>
            <w:vMerge/>
            <w:tcBorders>
              <w:left w:val="single" w:sz="4"/>
              <w:right w:val="single" w:sz="4"/>
              <w:bottom w:val="single" w:sz="4"/>
            </w:tcBorders>
            <w:vAlign w:val="top"/>
          </w:tcPr>
          <w:p>
            <w:pPr>
              <w:framePr w:w="9941" w:wrap="notBeside" w:vAnchor="text" w:hAnchor="text" w:xAlign="center" w:y="1"/>
            </w:pPr>
          </w:p>
        </w:tc>
      </w:tr>
    </w:tbl>
    <w:p>
      <w:pPr>
        <w:widowControl w:val="0"/>
        <w:rPr>
          <w:sz w:val="2"/>
          <w:szCs w:val="2"/>
        </w:rPr>
      </w:pPr>
    </w:p>
    <w:p>
      <w:pPr>
        <w:pStyle w:val="Style9"/>
        <w:numPr>
          <w:ilvl w:val="0"/>
          <w:numId w:val="3"/>
        </w:numPr>
        <w:widowControl w:val="0"/>
        <w:keepNext w:val="0"/>
        <w:keepLines w:val="0"/>
        <w:shd w:val="clear" w:color="auto" w:fill="auto"/>
        <w:bidi w:val="0"/>
        <w:jc w:val="left"/>
        <w:spacing w:before="0" w:after="0" w:line="250" w:lineRule="exact"/>
        <w:ind w:left="3260" w:right="0" w:firstLine="0"/>
      </w:pPr>
      <w:r>
        <w:rPr>
          <w:lang w:val="ru-RU" w:eastAsia="ru-RU" w:bidi="ru-RU"/>
          <w:w w:val="100"/>
          <w:spacing w:val="0"/>
          <w:color w:val="000000"/>
          <w:position w:val="0"/>
        </w:rPr>
        <w:t xml:space="preserve"> скорость передачи данных сетевого контроллера,</w:t>
      </w:r>
    </w:p>
    <w:p>
      <w:pPr>
        <w:pStyle w:val="Style9"/>
        <w:widowControl w:val="0"/>
        <w:keepNext w:val="0"/>
        <w:keepLines w:val="0"/>
        <w:shd w:val="clear" w:color="auto" w:fill="auto"/>
        <w:bidi w:val="0"/>
        <w:jc w:val="left"/>
        <w:spacing w:before="0" w:after="0" w:line="250" w:lineRule="exact"/>
        <w:ind w:left="3260" w:right="0" w:firstLine="0"/>
      </w:pPr>
      <w:r>
        <w:rPr>
          <w:lang w:val="ru-RU" w:eastAsia="ru-RU" w:bidi="ru-RU"/>
          <w:w w:val="100"/>
          <w:spacing w:val="0"/>
          <w:color w:val="000000"/>
          <w:position w:val="0"/>
        </w:rPr>
        <w:t>10/100/1000 Мбит/с</w:t>
      </w:r>
    </w:p>
    <w:p>
      <w:pPr>
        <w:pStyle w:val="Style9"/>
        <w:numPr>
          <w:ilvl w:val="0"/>
          <w:numId w:val="3"/>
        </w:numPr>
        <w:widowControl w:val="0"/>
        <w:keepNext w:val="0"/>
        <w:keepLines w:val="0"/>
        <w:shd w:val="clear" w:color="auto" w:fill="auto"/>
        <w:bidi w:val="0"/>
        <w:jc w:val="left"/>
        <w:spacing w:before="0" w:after="0" w:line="250" w:lineRule="exact"/>
        <w:ind w:left="3260" w:right="0" w:firstLine="0"/>
      </w:pPr>
      <w:r>
        <w:rPr>
          <w:lang w:val="ru-RU" w:eastAsia="ru-RU" w:bidi="ru-RU"/>
          <w:w w:val="100"/>
          <w:spacing w:val="0"/>
          <w:color w:val="000000"/>
          <w:position w:val="0"/>
        </w:rPr>
        <w:t xml:space="preserve"> наличие выходного разъема </w:t>
      </w:r>
      <w:r>
        <w:rPr>
          <w:lang w:val="en-US" w:eastAsia="en-US" w:bidi="en-US"/>
          <w:w w:val="100"/>
          <w:spacing w:val="0"/>
          <w:color w:val="000000"/>
          <w:position w:val="0"/>
        </w:rPr>
        <w:t>HDMI</w:t>
      </w:r>
    </w:p>
    <w:p>
      <w:pPr>
        <w:pStyle w:val="Style9"/>
        <w:numPr>
          <w:ilvl w:val="0"/>
          <w:numId w:val="3"/>
        </w:numPr>
        <w:widowControl w:val="0"/>
        <w:keepNext w:val="0"/>
        <w:keepLines w:val="0"/>
        <w:shd w:val="clear" w:color="auto" w:fill="auto"/>
        <w:bidi w:val="0"/>
        <w:jc w:val="left"/>
        <w:spacing w:before="0" w:after="0" w:line="250" w:lineRule="exact"/>
        <w:ind w:left="3260" w:right="0" w:firstLine="0"/>
      </w:pPr>
      <w:r>
        <w:rPr>
          <w:lang w:val="ru-RU" w:eastAsia="ru-RU" w:bidi="ru-RU"/>
          <w:w w:val="100"/>
          <w:spacing w:val="0"/>
          <w:color w:val="000000"/>
          <w:position w:val="0"/>
        </w:rPr>
        <w:t xml:space="preserve"> наличие входного разъема </w:t>
      </w:r>
      <w:r>
        <w:rPr>
          <w:lang w:val="en-US" w:eastAsia="en-US" w:bidi="en-US"/>
          <w:w w:val="100"/>
          <w:spacing w:val="0"/>
          <w:color w:val="000000"/>
          <w:position w:val="0"/>
        </w:rPr>
        <w:t>HDMI</w:t>
      </w:r>
    </w:p>
    <w:p>
      <w:pPr>
        <w:pStyle w:val="Style9"/>
        <w:numPr>
          <w:ilvl w:val="0"/>
          <w:numId w:val="3"/>
        </w:numPr>
        <w:widowControl w:val="0"/>
        <w:keepNext w:val="0"/>
        <w:keepLines w:val="0"/>
        <w:shd w:val="clear" w:color="auto" w:fill="auto"/>
        <w:bidi w:val="0"/>
        <w:jc w:val="left"/>
        <w:spacing w:before="0" w:after="0" w:line="250" w:lineRule="exact"/>
        <w:ind w:left="3260" w:right="0" w:firstLine="0"/>
      </w:pPr>
      <w:r>
        <w:rPr>
          <w:lang w:val="ru-RU" w:eastAsia="ru-RU" w:bidi="ru-RU"/>
          <w:w w:val="100"/>
          <w:spacing w:val="0"/>
          <w:color w:val="000000"/>
          <w:position w:val="0"/>
        </w:rPr>
        <w:t xml:space="preserve"> мышь + клавиатура наличие</w:t>
      </w:r>
    </w:p>
    <w:p>
      <w:pPr>
        <w:pStyle w:val="Style9"/>
        <w:numPr>
          <w:ilvl w:val="0"/>
          <w:numId w:val="3"/>
        </w:numPr>
        <w:widowControl w:val="0"/>
        <w:keepNext w:val="0"/>
        <w:keepLines w:val="0"/>
        <w:shd w:val="clear" w:color="auto" w:fill="auto"/>
        <w:bidi w:val="0"/>
        <w:jc w:val="left"/>
        <w:spacing w:before="0" w:after="0" w:line="250" w:lineRule="exact"/>
        <w:ind w:left="3260" w:right="1900" w:firstLine="0"/>
      </w:pPr>
      <w:r>
        <w:rPr>
          <w:lang w:val="ru-RU" w:eastAsia="ru-RU" w:bidi="ru-RU"/>
          <w:w w:val="100"/>
          <w:spacing w:val="0"/>
          <w:color w:val="000000"/>
          <w:position w:val="0"/>
        </w:rPr>
        <w:t xml:space="preserve"> поддерживаемые стандарты </w:t>
      </w:r>
      <w:r>
        <w:rPr>
          <w:lang w:val="en-US" w:eastAsia="en-US" w:bidi="en-US"/>
          <w:w w:val="100"/>
          <w:spacing w:val="0"/>
          <w:color w:val="000000"/>
          <w:position w:val="0"/>
        </w:rPr>
        <w:t xml:space="preserve">Wi-Fi: IEEE </w:t>
      </w:r>
      <w:r>
        <w:rPr>
          <w:lang w:val="ru-RU" w:eastAsia="ru-RU" w:bidi="ru-RU"/>
          <w:w w:val="100"/>
          <w:spacing w:val="0"/>
          <w:color w:val="000000"/>
          <w:position w:val="0"/>
        </w:rPr>
        <w:t xml:space="preserve">802.11 </w:t>
      </w:r>
      <w:r>
        <w:rPr>
          <w:lang w:val="en-US" w:eastAsia="en-US" w:bidi="en-US"/>
          <w:w w:val="100"/>
          <w:spacing w:val="0"/>
          <w:color w:val="000000"/>
          <w:position w:val="0"/>
        </w:rPr>
        <w:t>b/g/n/ac.</w:t>
      </w:r>
    </w:p>
    <w:p>
      <w:pPr>
        <w:pStyle w:val="Style9"/>
        <w:numPr>
          <w:ilvl w:val="0"/>
          <w:numId w:val="3"/>
        </w:numPr>
        <w:widowControl w:val="0"/>
        <w:keepNext w:val="0"/>
        <w:keepLines w:val="0"/>
        <w:shd w:val="clear" w:color="auto" w:fill="auto"/>
        <w:bidi w:val="0"/>
        <w:jc w:val="left"/>
        <w:spacing w:before="0" w:after="0" w:line="250" w:lineRule="exact"/>
        <w:ind w:left="3260" w:right="0" w:firstLine="0"/>
      </w:pPr>
      <w:r>
        <w:rPr>
          <w:lang w:val="ru-RU" w:eastAsia="ru-RU" w:bidi="ru-RU"/>
          <w:w w:val="100"/>
          <w:spacing w:val="0"/>
          <w:color w:val="000000"/>
          <w:position w:val="0"/>
        </w:rPr>
        <w:t xml:space="preserve"> </w:t>
      </w:r>
      <w:r>
        <w:rPr>
          <w:lang w:val="en-US" w:eastAsia="en-US" w:bidi="en-US"/>
          <w:w w:val="100"/>
          <w:spacing w:val="0"/>
          <w:color w:val="000000"/>
          <w:position w:val="0"/>
        </w:rPr>
        <w:t xml:space="preserve">USB, </w:t>
      </w:r>
      <w:r>
        <w:rPr>
          <w:lang w:val="ru-RU" w:eastAsia="ru-RU" w:bidi="ru-RU"/>
          <w:w w:val="100"/>
          <w:spacing w:val="0"/>
          <w:color w:val="000000"/>
          <w:position w:val="0"/>
        </w:rPr>
        <w:t xml:space="preserve">тип </w:t>
      </w:r>
      <w:r>
        <w:rPr>
          <w:lang w:val="en-US" w:eastAsia="en-US" w:bidi="en-US"/>
          <w:w w:val="100"/>
          <w:spacing w:val="0"/>
          <w:color w:val="000000"/>
          <w:position w:val="0"/>
        </w:rPr>
        <w:t xml:space="preserve">3.0 </w:t>
      </w:r>
      <w:r>
        <w:rPr>
          <w:lang w:val="ru-RU" w:eastAsia="ru-RU" w:bidi="ru-RU"/>
          <w:w w:val="100"/>
          <w:spacing w:val="0"/>
          <w:color w:val="000000"/>
          <w:position w:val="0"/>
        </w:rPr>
        <w:t>и выше, не менее 4 шт.</w:t>
      </w:r>
    </w:p>
    <w:p>
      <w:pPr>
        <w:pStyle w:val="Style9"/>
        <w:numPr>
          <w:ilvl w:val="0"/>
          <w:numId w:val="3"/>
        </w:numPr>
        <w:widowControl w:val="0"/>
        <w:keepNext w:val="0"/>
        <w:keepLines w:val="0"/>
        <w:shd w:val="clear" w:color="auto" w:fill="auto"/>
        <w:bidi w:val="0"/>
        <w:jc w:val="left"/>
        <w:spacing w:before="0" w:after="0" w:line="250" w:lineRule="exact"/>
        <w:ind w:left="3260" w:right="0" w:firstLine="0"/>
      </w:pPr>
      <w:r>
        <w:rPr>
          <w:lang w:val="ru-RU" w:eastAsia="ru-RU" w:bidi="ru-RU"/>
          <w:w w:val="100"/>
          <w:spacing w:val="0"/>
          <w:color w:val="000000"/>
          <w:position w:val="0"/>
        </w:rPr>
        <w:t xml:space="preserve"> </w:t>
      </w:r>
      <w:r>
        <w:rPr>
          <w:lang w:val="en-US" w:eastAsia="en-US" w:bidi="en-US"/>
          <w:w w:val="100"/>
          <w:spacing w:val="0"/>
          <w:color w:val="000000"/>
          <w:position w:val="0"/>
        </w:rPr>
        <w:t xml:space="preserve">USB, </w:t>
      </w:r>
      <w:r>
        <w:rPr>
          <w:lang w:val="ru-RU" w:eastAsia="ru-RU" w:bidi="ru-RU"/>
          <w:w w:val="100"/>
          <w:spacing w:val="0"/>
          <w:color w:val="000000"/>
          <w:position w:val="0"/>
        </w:rPr>
        <w:t>тип 2.0 и выше, не менее 2 шт.</w:t>
      </w:r>
    </w:p>
    <w:p>
      <w:pPr>
        <w:pStyle w:val="Style9"/>
        <w:numPr>
          <w:ilvl w:val="0"/>
          <w:numId w:val="3"/>
        </w:numPr>
        <w:widowControl w:val="0"/>
        <w:keepNext w:val="0"/>
        <w:keepLines w:val="0"/>
        <w:shd w:val="clear" w:color="auto" w:fill="auto"/>
        <w:bidi w:val="0"/>
        <w:jc w:val="left"/>
        <w:spacing w:before="0" w:after="0" w:line="250" w:lineRule="exact"/>
        <w:ind w:left="3260" w:right="0" w:firstLine="0"/>
      </w:pPr>
      <w:r>
        <w:rPr>
          <w:lang w:val="ru-RU" w:eastAsia="ru-RU" w:bidi="ru-RU"/>
          <w:w w:val="100"/>
          <w:spacing w:val="0"/>
          <w:color w:val="000000"/>
          <w:position w:val="0"/>
        </w:rPr>
        <w:t xml:space="preserve"> диагональ экрана монитора не менее 23 Дюймов</w:t>
      </w:r>
    </w:p>
    <w:p>
      <w:pPr>
        <w:pStyle w:val="Style9"/>
        <w:numPr>
          <w:ilvl w:val="0"/>
          <w:numId w:val="3"/>
        </w:numPr>
        <w:widowControl w:val="0"/>
        <w:keepNext w:val="0"/>
        <w:keepLines w:val="0"/>
        <w:shd w:val="clear" w:color="auto" w:fill="auto"/>
        <w:bidi w:val="0"/>
        <w:jc w:val="left"/>
        <w:spacing w:before="0" w:after="0" w:line="250" w:lineRule="exact"/>
        <w:ind w:left="3260" w:right="0" w:firstLine="0"/>
      </w:pPr>
      <w:r>
        <w:rPr>
          <w:lang w:val="ru-RU" w:eastAsia="ru-RU" w:bidi="ru-RU"/>
          <w:w w:val="100"/>
          <w:spacing w:val="0"/>
          <w:color w:val="000000"/>
          <w:position w:val="0"/>
        </w:rPr>
        <w:t xml:space="preserve"> разрешение экрана не менее 1920 </w:t>
      </w:r>
      <w:r>
        <w:rPr>
          <w:lang w:val="en-US" w:eastAsia="en-US" w:bidi="en-US"/>
          <w:w w:val="100"/>
          <w:spacing w:val="0"/>
          <w:color w:val="000000"/>
          <w:position w:val="0"/>
        </w:rPr>
        <w:t xml:space="preserve">x </w:t>
      </w:r>
      <w:r>
        <w:rPr>
          <w:lang w:val="ru-RU" w:eastAsia="ru-RU" w:bidi="ru-RU"/>
          <w:w w:val="100"/>
          <w:spacing w:val="0"/>
          <w:color w:val="000000"/>
          <w:position w:val="0"/>
        </w:rPr>
        <w:t>1080</w:t>
      </w:r>
    </w:p>
    <w:p>
      <w:pPr>
        <w:pStyle w:val="Style9"/>
        <w:numPr>
          <w:ilvl w:val="0"/>
          <w:numId w:val="3"/>
        </w:numPr>
        <w:widowControl w:val="0"/>
        <w:keepNext w:val="0"/>
        <w:keepLines w:val="0"/>
        <w:shd w:val="clear" w:color="auto" w:fill="auto"/>
        <w:bidi w:val="0"/>
        <w:jc w:val="left"/>
        <w:spacing w:before="0" w:after="0" w:line="250" w:lineRule="exact"/>
        <w:ind w:left="3260" w:right="1900" w:firstLine="0"/>
      </w:pPr>
      <w:r>
        <w:rPr>
          <w:lang w:val="ru-RU" w:eastAsia="ru-RU" w:bidi="ru-RU"/>
          <w:w w:val="100"/>
          <w:spacing w:val="0"/>
          <w:color w:val="000000"/>
          <w:position w:val="0"/>
        </w:rPr>
        <w:t xml:space="preserve"> наличие встроенного микрофона и камеры, разрешение камеры не менее 1 Мпикселя</w:t>
      </w:r>
    </w:p>
    <w:p>
      <w:pPr>
        <w:pStyle w:val="Style9"/>
        <w:numPr>
          <w:ilvl w:val="0"/>
          <w:numId w:val="3"/>
        </w:numPr>
        <w:widowControl w:val="0"/>
        <w:keepNext w:val="0"/>
        <w:keepLines w:val="0"/>
        <w:shd w:val="clear" w:color="auto" w:fill="auto"/>
        <w:bidi w:val="0"/>
        <w:jc w:val="left"/>
        <w:spacing w:before="0" w:after="0" w:line="250" w:lineRule="exact"/>
        <w:ind w:left="3260" w:right="1900" w:firstLine="0"/>
      </w:pPr>
      <w:r>
        <w:rPr>
          <w:lang w:val="ru-RU" w:eastAsia="ru-RU" w:bidi="ru-RU"/>
          <w:w w:val="100"/>
          <w:spacing w:val="0"/>
          <w:color w:val="000000"/>
          <w:position w:val="0"/>
        </w:rPr>
        <w:t xml:space="preserve"> наличие в корпусе разъемов подключения для наушников и микрофона</w:t>
      </w:r>
    </w:p>
    <w:p>
      <w:pPr>
        <w:pStyle w:val="Style9"/>
        <w:numPr>
          <w:ilvl w:val="0"/>
          <w:numId w:val="3"/>
        </w:numPr>
        <w:tabs>
          <w:tab w:leader="none" w:pos="6116" w:val="left"/>
        </w:tabs>
        <w:widowControl w:val="0"/>
        <w:keepNext w:val="0"/>
        <w:keepLines w:val="0"/>
        <w:shd w:val="clear" w:color="auto" w:fill="auto"/>
        <w:bidi w:val="0"/>
        <w:jc w:val="left"/>
        <w:spacing w:before="0" w:after="0" w:line="250" w:lineRule="exact"/>
        <w:ind w:left="3260" w:right="1800" w:firstLine="0"/>
      </w:pPr>
      <w:r>
        <w:rPr>
          <w:lang w:val="ru-RU" w:eastAsia="ru-RU" w:bidi="ru-RU"/>
          <w:w w:val="100"/>
          <w:spacing w:val="0"/>
          <w:color w:val="000000"/>
          <w:position w:val="0"/>
        </w:rPr>
        <w:t xml:space="preserve"> гарантия и сервис:</w:t>
        <w:tab/>
        <w:t>срок гарантийного обслуживания поставляемого оборудования - не</w:t>
      </w:r>
    </w:p>
    <w:p>
      <w:pPr>
        <w:pStyle w:val="Style9"/>
        <w:tabs>
          <w:tab w:leader="underscore" w:pos="3251" w:val="left"/>
          <w:tab w:leader="underscore" w:pos="9875" w:val="left"/>
        </w:tabs>
        <w:widowControl w:val="0"/>
        <w:keepNext w:val="0"/>
        <w:keepLines w:val="0"/>
        <w:shd w:val="clear" w:color="auto" w:fill="auto"/>
        <w:bidi w:val="0"/>
        <w:jc w:val="both"/>
        <w:spacing w:before="0" w:after="0" w:line="250" w:lineRule="exact"/>
        <w:ind w:left="280" w:right="0" w:firstLine="0"/>
      </w:pPr>
      <w:r>
        <w:rPr>
          <w:lang w:val="ru-RU" w:eastAsia="ru-RU" w:bidi="ru-RU"/>
          <w:w w:val="100"/>
          <w:spacing w:val="0"/>
          <w:color w:val="000000"/>
          <w:position w:val="0"/>
        </w:rPr>
        <w:tab/>
      </w:r>
      <w:r>
        <w:rPr>
          <w:rStyle w:val="CharStyle15"/>
        </w:rPr>
        <w:t>менее 3 лет.</w:t>
      </w:r>
      <w:r>
        <w:rPr>
          <w:lang w:val="ru-RU" w:eastAsia="ru-RU" w:bidi="ru-RU"/>
          <w:w w:val="100"/>
          <w:spacing w:val="0"/>
          <w:color w:val="000000"/>
          <w:position w:val="0"/>
        </w:rPr>
        <w:tab/>
      </w:r>
    </w:p>
    <w:p>
      <w:pPr>
        <w:pStyle w:val="Style9"/>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Участник закупки ООО «Победитель тендера» считает, что отклонение не законное, так как в п.31 II «Информационной карте электронного аукциона» установлен запрет в соответствии с Постановлением правительства РФ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9"/>
        <w:widowControl w:val="0"/>
        <w:keepNext w:val="0"/>
        <w:keepLines w:val="0"/>
        <w:shd w:val="clear" w:color="auto" w:fill="auto"/>
        <w:bidi w:val="0"/>
        <w:jc w:val="both"/>
        <w:spacing w:before="0" w:after="0" w:line="230" w:lineRule="exact"/>
        <w:ind w:left="20" w:right="0" w:firstLine="700"/>
      </w:pPr>
      <w:r>
        <w:rPr>
          <w:lang w:val="ru-RU" w:eastAsia="ru-RU" w:bidi="ru-RU"/>
          <w:w w:val="100"/>
          <w:spacing w:val="0"/>
          <w:color w:val="000000"/>
          <w:position w:val="0"/>
        </w:rPr>
        <w:t>В своей заявке ООО «Победитель тендера» предоставило:</w:t>
      </w:r>
    </w:p>
    <w:p>
      <w:pPr>
        <w:pStyle w:val="Style9"/>
        <w:widowControl w:val="0"/>
        <w:keepNext w:val="0"/>
        <w:keepLines w:val="0"/>
        <w:shd w:val="clear" w:color="auto" w:fill="auto"/>
        <w:bidi w:val="0"/>
        <w:jc w:val="both"/>
        <w:spacing w:before="0" w:after="0" w:line="230" w:lineRule="exact"/>
        <w:ind w:left="20" w:right="20" w:firstLine="700"/>
      </w:pPr>
      <w:r>
        <w:rPr>
          <w:lang w:val="ru-RU" w:eastAsia="ru-RU" w:bidi="ru-RU"/>
          <w:w w:val="100"/>
          <w:spacing w:val="0"/>
          <w:color w:val="000000"/>
          <w:position w:val="0"/>
        </w:rPr>
        <w:t xml:space="preserve">- Выписку из реестра российской промышленной продукции (Реестровая запись № 1611\1\2020) на Моноблок ГРАВИТОН М40И, ЕЦРТ.466219.011-01 (на базе: Материнской платы </w:t>
      </w:r>
      <w:r>
        <w:rPr>
          <w:lang w:val="en-US" w:eastAsia="en-US" w:bidi="en-US"/>
          <w:w w:val="100"/>
          <w:spacing w:val="0"/>
          <w:color w:val="000000"/>
          <w:position w:val="0"/>
        </w:rPr>
        <w:t xml:space="preserve">DMB-H310-TMI01, </w:t>
      </w:r>
      <w:r>
        <w:rPr>
          <w:lang w:val="ru-RU" w:eastAsia="ru-RU" w:bidi="ru-RU"/>
          <w:w w:val="100"/>
          <w:spacing w:val="0"/>
          <w:color w:val="000000"/>
          <w:position w:val="0"/>
        </w:rPr>
        <w:t>ЕЦРТ.469555.005ТУ);</w:t>
      </w:r>
    </w:p>
    <w:p>
      <w:pPr>
        <w:pStyle w:val="Style9"/>
        <w:widowControl w:val="0"/>
        <w:keepNext w:val="0"/>
        <w:keepLines w:val="0"/>
        <w:shd w:val="clear" w:color="auto" w:fill="auto"/>
        <w:bidi w:val="0"/>
        <w:jc w:val="both"/>
        <w:spacing w:before="0" w:after="0" w:line="230" w:lineRule="exact"/>
        <w:ind w:left="20" w:right="20" w:firstLine="700"/>
      </w:pPr>
      <w:r>
        <w:rPr>
          <w:lang w:val="ru-RU" w:eastAsia="ru-RU" w:bidi="ru-RU"/>
          <w:w w:val="100"/>
          <w:spacing w:val="0"/>
          <w:color w:val="000000"/>
          <w:position w:val="0"/>
        </w:rPr>
        <w:t>Вместе с тем, в соответствии с общероссийским классификатором продукции по видам экономической деятельности ОК 034-2014 (КПЕС 2008) предмет закупки (моноблоки) относится к коду ОКПД2 26.20.15.000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p>
    <w:p>
      <w:pPr>
        <w:pStyle w:val="Style9"/>
        <w:widowControl w:val="0"/>
        <w:keepNext w:val="0"/>
        <w:keepLines w:val="0"/>
        <w:shd w:val="clear" w:color="auto" w:fill="auto"/>
        <w:bidi w:val="0"/>
        <w:jc w:val="both"/>
        <w:spacing w:before="0" w:after="0" w:line="230" w:lineRule="exact"/>
        <w:ind w:left="20" w:right="20" w:firstLine="700"/>
      </w:pPr>
      <w:r>
        <w:rPr>
          <w:lang w:val="ru-RU" w:eastAsia="ru-RU" w:bidi="ru-RU"/>
          <w:w w:val="100"/>
          <w:spacing w:val="0"/>
          <w:color w:val="000000"/>
          <w:position w:val="0"/>
        </w:rPr>
        <w:t>Так как вышеуказанный код ОКПД2 включен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(далее - перечень), утвержденный Постановлением Правительства Российской Федерации от 30 апреля 2020 г.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то в документации установлены соответствующие запреты (пункт 17 извещения, пункт 31 информационной карты аукционной документации).</w:t>
      </w:r>
    </w:p>
    <w:p>
      <w:pPr>
        <w:pStyle w:val="Style9"/>
        <w:widowControl w:val="0"/>
        <w:keepNext w:val="0"/>
        <w:keepLines w:val="0"/>
        <w:shd w:val="clear" w:color="auto" w:fill="auto"/>
        <w:bidi w:val="0"/>
        <w:jc w:val="both"/>
        <w:spacing w:before="0" w:after="0" w:line="230" w:lineRule="exact"/>
        <w:ind w:left="20" w:right="20" w:firstLine="700"/>
      </w:pPr>
      <w:r>
        <w:rPr>
          <w:lang w:val="ru-RU" w:eastAsia="ru-RU" w:bidi="ru-RU"/>
          <w:w w:val="100"/>
          <w:spacing w:val="0"/>
          <w:color w:val="000000"/>
          <w:position w:val="0"/>
        </w:rPr>
        <w:t>В соответствии с пунктом 10 Постановления № 616 для подтверждения соответствия закупки промышленных товаров требованиям, установленным Постановлением № 616,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w:t>
      </w:r>
    </w:p>
    <w:p>
      <w:pPr>
        <w:pStyle w:val="Style9"/>
        <w:widowControl w:val="0"/>
        <w:keepNext w:val="0"/>
        <w:keepLines w:val="0"/>
        <w:shd w:val="clear" w:color="auto" w:fill="auto"/>
        <w:bidi w:val="0"/>
        <w:jc w:val="both"/>
        <w:spacing w:before="0" w:after="0" w:line="230" w:lineRule="exact"/>
        <w:ind w:left="20" w:right="20" w:firstLine="700"/>
      </w:pPr>
      <w:r>
        <w:rPr>
          <w:lang w:val="ru-RU" w:eastAsia="ru-RU" w:bidi="ru-RU"/>
          <w:w w:val="100"/>
          <w:spacing w:val="0"/>
          <w:color w:val="000000"/>
          <w:position w:val="0"/>
        </w:rPr>
        <w:t>Поскольку код ОКПД2 26.20.15.000 в перечне к Постановлению № 616 указан в пункте 25(6), то для подтверждения соответствия закупки промышленных товаров требованиям, установленным Постановлением № 616, участник закупки должен представить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Требования о предоставлении соответствующей декларации установлены пунктами 17, 18 информационной карты документации электронного аукциона.</w:t>
      </w:r>
    </w:p>
    <w:p>
      <w:pPr>
        <w:pStyle w:val="Style9"/>
        <w:widowControl w:val="0"/>
        <w:keepNext w:val="0"/>
        <w:keepLines w:val="0"/>
        <w:shd w:val="clear" w:color="auto" w:fill="auto"/>
        <w:bidi w:val="0"/>
        <w:jc w:val="both"/>
        <w:spacing w:before="0" w:after="0" w:line="235" w:lineRule="exact"/>
        <w:ind w:left="20" w:right="20" w:firstLine="700"/>
      </w:pPr>
      <w:r>
        <w:rPr>
          <w:lang w:val="ru-RU" w:eastAsia="ru-RU" w:bidi="ru-RU"/>
          <w:w w:val="100"/>
          <w:spacing w:val="0"/>
          <w:color w:val="000000"/>
          <w:position w:val="0"/>
        </w:rPr>
        <w:t>Таким образом, заявка участника закупки ООО «Победитель тендера» в рассматриваемой части не соответствует требованиям закупочной документации, Закона о контрактной системе.</w:t>
      </w:r>
    </w:p>
    <w:p>
      <w:pPr>
        <w:pStyle w:val="Style9"/>
        <w:widowControl w:val="0"/>
        <w:keepNext w:val="0"/>
        <w:keepLines w:val="0"/>
        <w:shd w:val="clear" w:color="auto" w:fill="auto"/>
        <w:bidi w:val="0"/>
        <w:jc w:val="both"/>
        <w:spacing w:before="0" w:after="0" w:line="235" w:lineRule="exact"/>
        <w:ind w:left="20" w:right="20" w:firstLine="700"/>
      </w:pPr>
      <w:r>
        <w:rPr>
          <w:lang w:val="ru-RU" w:eastAsia="ru-RU" w:bidi="ru-RU"/>
          <w:w w:val="100"/>
          <w:spacing w:val="0"/>
          <w:color w:val="000000"/>
          <w:position w:val="0"/>
        </w:rPr>
        <w:t>Согласно ч. 1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w:t>
      </w:r>
    </w:p>
    <w:p>
      <w:pPr>
        <w:pStyle w:val="Style9"/>
        <w:widowControl w:val="0"/>
        <w:keepNext w:val="0"/>
        <w:keepLines w:val="0"/>
        <w:shd w:val="clear" w:color="auto" w:fill="auto"/>
        <w:bidi w:val="0"/>
        <w:jc w:val="both"/>
        <w:spacing w:before="0" w:after="0" w:line="240" w:lineRule="exact"/>
        <w:ind w:left="20" w:right="120" w:firstLine="0"/>
      </w:pPr>
      <w:r>
        <w:rPr>
          <w:lang w:val="ru-RU" w:eastAsia="ru-RU" w:bidi="ru-RU"/>
          <w:w w:val="100"/>
          <w:spacing w:val="0"/>
          <w:color w:val="000000"/>
          <w:position w:val="0"/>
        </w:rPr>
        <w:t>оператором электронной площадки в соответствии с</w:t>
      </w:r>
      <w:r>
        <w:fldChar w:fldCharType="begin"/>
      </w:r>
      <w:r>
        <w:rPr>
          <w:color w:val="000000"/>
        </w:rPr>
        <w:instrText> HYPERLINK "http://www.consultant.ru/document/cons_doc_LAW_324349/7f0226b5a99585acda631d614ae06364f48ee8de/%23dst1266" </w:instrText>
      </w:r>
      <w:r>
        <w:fldChar w:fldCharType="separate"/>
      </w:r>
      <w:r>
        <w:rPr>
          <w:rStyle w:val="Hyperlink"/>
          <w:lang w:val="ru-RU" w:eastAsia="ru-RU" w:bidi="ru-RU"/>
          <w:w w:val="100"/>
          <w:spacing w:val="0"/>
          <w:position w:val="0"/>
        </w:rPr>
        <w:t xml:space="preserve"> частью 19 статьи 68 </w:t>
      </w:r>
      <w:r>
        <w:fldChar w:fldCharType="end"/>
      </w:r>
      <w:r>
        <w:rPr>
          <w:lang w:val="ru-RU" w:eastAsia="ru-RU" w:bidi="ru-RU"/>
          <w:w w:val="100"/>
          <w:spacing w:val="0"/>
          <w:color w:val="000000"/>
          <w:position w:val="0"/>
        </w:rPr>
        <w:t>настоящего Федерального закона, в части соответствия их требованиям, установленным документацией о таком аукционе.</w:t>
      </w:r>
    </w:p>
    <w:p>
      <w:pPr>
        <w:pStyle w:val="Style9"/>
        <w:widowControl w:val="0"/>
        <w:keepNext w:val="0"/>
        <w:keepLines w:val="0"/>
        <w:shd w:val="clear" w:color="auto" w:fill="auto"/>
        <w:bidi w:val="0"/>
        <w:jc w:val="both"/>
        <w:spacing w:before="0" w:after="0" w:line="240" w:lineRule="exact"/>
        <w:ind w:left="20" w:right="120" w:firstLine="720"/>
      </w:pPr>
      <w:r>
        <w:rPr>
          <w:lang w:val="ru-RU" w:eastAsia="ru-RU" w:bidi="ru-RU"/>
          <w:w w:val="100"/>
          <w:spacing w:val="0"/>
          <w:color w:val="000000"/>
          <w:position w:val="0"/>
        </w:rPr>
        <w:t>В соответствии с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9"/>
        <w:numPr>
          <w:ilvl w:val="0"/>
          <w:numId w:val="5"/>
        </w:numPr>
        <w:widowControl w:val="0"/>
        <w:keepNext w:val="0"/>
        <w:keepLines w:val="0"/>
        <w:shd w:val="clear" w:color="auto" w:fill="auto"/>
        <w:bidi w:val="0"/>
        <w:jc w:val="both"/>
        <w:spacing w:before="0" w:after="0" w:line="240" w:lineRule="exact"/>
        <w:ind w:left="20" w:right="120" w:firstLine="720"/>
      </w:pPr>
      <w:r>
        <w:rPr>
          <w:lang w:val="ru-RU" w:eastAsia="ru-RU" w:bidi="ru-RU"/>
          <w:w w:val="100"/>
          <w:spacing w:val="0"/>
          <w:color w:val="000000"/>
          <w:position w:val="0"/>
        </w:rPr>
        <w:t xml:space="preserve"> непредставления документов и информации, которые предусмотрены</w:t>
      </w:r>
      <w:r>
        <w:fldChar w:fldCharType="begin"/>
      </w:r>
      <w:r>
        <w:rPr>
          <w:color w:val="000000"/>
        </w:rPr>
        <w:instrText> HYPERLINK "http://www.consultant.ru/document/cons_doc_LAW_324349/2bc57073404104e2709f54008199c9cc27dcf518/%23dst408" </w:instrText>
      </w:r>
      <w:r>
        <w:fldChar w:fldCharType="separate"/>
      </w:r>
      <w:r>
        <w:rPr>
          <w:rStyle w:val="Hyperlink"/>
          <w:lang w:val="ru-RU" w:eastAsia="ru-RU" w:bidi="ru-RU"/>
          <w:w w:val="100"/>
          <w:spacing w:val="0"/>
          <w:position w:val="0"/>
        </w:rPr>
        <w:t xml:space="preserve"> частью 11 статьи</w:t>
      </w:r>
      <w:r>
        <w:fldChar w:fldCharType="end"/>
      </w:r>
      <w:r>
        <w:rPr>
          <w:lang w:val="ru-RU" w:eastAsia="ru-RU" w:bidi="ru-RU"/>
          <w:w w:val="100"/>
          <w:spacing w:val="0"/>
          <w:color w:val="000000"/>
          <w:position w:val="0"/>
        </w:rPr>
        <w:t xml:space="preserve"> </w:t>
      </w:r>
      <w:r>
        <w:fldChar w:fldCharType="begin"/>
      </w:r>
      <w:r>
        <w:rPr>
          <w:color w:val="000000"/>
        </w:rPr>
        <w:instrText> HYPERLINK "http://www.consultant.ru/document/cons_doc_LAW_324349/2bc57073404104e2709f54008199c9cc27dcf518/%23dst408" </w:instrText>
      </w:r>
      <w:r>
        <w:fldChar w:fldCharType="separate"/>
      </w:r>
      <w:r>
        <w:rPr>
          <w:rStyle w:val="Hyperlink"/>
          <w:lang w:val="ru-RU" w:eastAsia="ru-RU" w:bidi="ru-RU"/>
          <w:w w:val="100"/>
          <w:spacing w:val="0"/>
          <w:position w:val="0"/>
        </w:rPr>
        <w:t>24.1,</w:t>
      </w:r>
      <w:r>
        <w:fldChar w:fldCharType="end"/>
      </w:r>
      <w:r>
        <w:fldChar w:fldCharType="begin"/>
      </w:r>
      <w:r>
        <w:rPr>
          <w:color w:val="000000"/>
        </w:rPr>
        <w:instrText> HYPERLINK "http://www.consultant.ru/document/cons_doc_LAW_324349/1cae86666aac2a3bc0b45916a0bbc0795cc340a2/%23dst1251" </w:instrText>
      </w:r>
      <w:r>
        <w:fldChar w:fldCharType="separate"/>
      </w:r>
      <w:r>
        <w:rPr>
          <w:rStyle w:val="Hyperlink"/>
          <w:lang w:val="ru-RU" w:eastAsia="ru-RU" w:bidi="ru-RU"/>
          <w:w w:val="100"/>
          <w:spacing w:val="0"/>
          <w:position w:val="0"/>
        </w:rPr>
        <w:t xml:space="preserve"> частями 3 </w:t>
      </w:r>
      <w:r>
        <w:fldChar w:fldCharType="end"/>
      </w:r>
      <w:r>
        <w:rPr>
          <w:lang w:val="ru-RU" w:eastAsia="ru-RU" w:bidi="ru-RU"/>
          <w:w w:val="100"/>
          <w:spacing w:val="0"/>
          <w:color w:val="000000"/>
          <w:position w:val="0"/>
        </w:rPr>
        <w:t>или</w:t>
      </w:r>
      <w:r>
        <w:fldChar w:fldCharType="begin"/>
      </w:r>
      <w:r>
        <w:rPr>
          <w:color w:val="000000"/>
        </w:rPr>
        <w:instrText> HYPERLINK "http://www.consultant.ru/document/cons_doc_LAW_324349/1cae86666aac2a3bc0b45916a0bbc0795cc340a2/%23dst1252" </w:instrText>
      </w:r>
      <w:r>
        <w:fldChar w:fldCharType="separate"/>
      </w:r>
      <w:r>
        <w:rPr>
          <w:rStyle w:val="Hyperlink"/>
          <w:lang w:val="ru-RU" w:eastAsia="ru-RU" w:bidi="ru-RU"/>
          <w:w w:val="100"/>
          <w:spacing w:val="0"/>
          <w:position w:val="0"/>
        </w:rPr>
        <w:t xml:space="preserve"> 3.1,</w:t>
      </w:r>
      <w:r>
        <w:fldChar w:fldCharType="end"/>
      </w:r>
      <w:r>
        <w:fldChar w:fldCharType="begin"/>
      </w:r>
      <w:r>
        <w:rPr>
          <w:color w:val="000000"/>
        </w:rPr>
        <w:instrText> HYPERLINK "http://www.consultant.ru/document/cons_doc_LAW_324349/1cae86666aac2a3bc0b45916a0bbc0795cc340a2/%23dst100856" </w:instrText>
      </w:r>
      <w:r>
        <w:fldChar w:fldCharType="separate"/>
      </w:r>
      <w:r>
        <w:rPr>
          <w:rStyle w:val="Hyperlink"/>
          <w:lang w:val="ru-RU" w:eastAsia="ru-RU" w:bidi="ru-RU"/>
          <w:w w:val="100"/>
          <w:spacing w:val="0"/>
          <w:position w:val="0"/>
        </w:rPr>
        <w:t xml:space="preserve"> 5,</w:t>
      </w:r>
      <w:r>
        <w:fldChar w:fldCharType="end"/>
      </w:r>
      <w:r>
        <w:fldChar w:fldCharType="begin"/>
      </w:r>
      <w:r>
        <w:rPr>
          <w:color w:val="000000"/>
        </w:rPr>
        <w:instrText> HYPERLINK "http://www.consultant.ru/document/cons_doc_LAW_324349/1cae86666aac2a3bc0b45916a0bbc0795cc340a2/%23dst1258" </w:instrText>
      </w:r>
      <w:r>
        <w:fldChar w:fldCharType="separate"/>
      </w:r>
      <w:r>
        <w:rPr>
          <w:rStyle w:val="Hyperlink"/>
          <w:lang w:val="ru-RU" w:eastAsia="ru-RU" w:bidi="ru-RU"/>
          <w:w w:val="100"/>
          <w:spacing w:val="0"/>
          <w:position w:val="0"/>
        </w:rPr>
        <w:t xml:space="preserve"> 8.2 статьи 66н</w:t>
      </w:r>
      <w:r>
        <w:fldChar w:fldCharType="end"/>
      </w:r>
      <w:r>
        <w:rPr>
          <w:lang w:val="ru-RU" w:eastAsia="ru-RU" w:bidi="ru-RU"/>
          <w:w w:val="100"/>
          <w:spacing w:val="0"/>
          <w:color w:val="000000"/>
          <w:position w:val="0"/>
        </w:rPr>
        <w:t>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9"/>
        <w:numPr>
          <w:ilvl w:val="0"/>
          <w:numId w:val="5"/>
        </w:numPr>
        <w:widowControl w:val="0"/>
        <w:keepNext w:val="0"/>
        <w:keepLines w:val="0"/>
        <w:shd w:val="clear" w:color="auto" w:fill="auto"/>
        <w:bidi w:val="0"/>
        <w:jc w:val="both"/>
        <w:spacing w:before="0" w:after="0" w:line="240" w:lineRule="exact"/>
        <w:ind w:left="20" w:right="1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w:t>
      </w:r>
      <w:r>
        <w:fldChar w:fldCharType="begin"/>
      </w:r>
      <w:r>
        <w:rPr>
          <w:color w:val="000000"/>
        </w:rPr>
        <w:instrText> HYPERLINK "http://www.consultant.ru/document/cons_doc_LAW_324349/be7f337d9b35705ac035531878c8d15c2b09b36d/%23dst100335" </w:instrText>
      </w:r>
      <w:r>
        <w:fldChar w:fldCharType="separate"/>
      </w:r>
      <w:r>
        <w:rPr>
          <w:rStyle w:val="Hyperlink"/>
          <w:lang w:val="ru-RU" w:eastAsia="ru-RU" w:bidi="ru-RU"/>
          <w:w w:val="100"/>
          <w:spacing w:val="0"/>
          <w:position w:val="0"/>
        </w:rPr>
        <w:t xml:space="preserve"> частью</w:t>
      </w:r>
      <w:r>
        <w:fldChar w:fldCharType="end"/>
      </w:r>
      <w:r>
        <w:rPr>
          <w:lang w:val="ru-RU" w:eastAsia="ru-RU" w:bidi="ru-RU"/>
          <w:w w:val="100"/>
          <w:spacing w:val="0"/>
          <w:color w:val="000000"/>
          <w:position w:val="0"/>
        </w:rPr>
        <w:t xml:space="preserve"> </w:t>
      </w:r>
      <w:r>
        <w:fldChar w:fldCharType="begin"/>
      </w:r>
      <w:r>
        <w:rPr>
          <w:color w:val="000000"/>
        </w:rPr>
        <w:instrText> HYPERLINK "http://www.consultant.ru/document/cons_doc_LAW_324349/be7f337d9b35705ac035531878c8d15c2b09b36d/%23dst100335" </w:instrText>
      </w:r>
      <w:r>
        <w:fldChar w:fldCharType="separate"/>
      </w:r>
      <w:r>
        <w:rPr>
          <w:rStyle w:val="Hyperlink"/>
          <w:lang w:val="ru-RU" w:eastAsia="ru-RU" w:bidi="ru-RU"/>
          <w:w w:val="100"/>
          <w:spacing w:val="0"/>
          <w:position w:val="0"/>
        </w:rPr>
        <w:t>1,</w:t>
      </w:r>
      <w:r>
        <w:fldChar w:fldCharType="end"/>
      </w:r>
      <w:r>
        <w:fldChar w:fldCharType="begin"/>
      </w:r>
      <w:r>
        <w:rPr>
          <w:color w:val="000000"/>
        </w:rPr>
        <w:instrText> HYPERLINK "http://www.consultant.ru/document/cons_doc_LAW_324349/be7f337d9b35705ac035531878c8d15c2b09b36d/%23dst101710" </w:instrText>
      </w:r>
      <w:r>
        <w:fldChar w:fldCharType="separate"/>
      </w:r>
      <w:r>
        <w:rPr>
          <w:rStyle w:val="Hyperlink"/>
          <w:lang w:val="ru-RU" w:eastAsia="ru-RU" w:bidi="ru-RU"/>
          <w:w w:val="100"/>
          <w:spacing w:val="0"/>
          <w:position w:val="0"/>
        </w:rPr>
        <w:t xml:space="preserve"> частями 1.1,</w:t>
      </w:r>
      <w:r>
        <w:fldChar w:fldCharType="end"/>
      </w:r>
      <w:r>
        <w:fldChar w:fldCharType="begin"/>
      </w:r>
      <w:r>
        <w:rPr>
          <w:color w:val="000000"/>
        </w:rPr>
        <w:instrText> HYPERLINK "http://www.consultant.ru/document/cons_doc_LAW_324349/be7f337d9b35705ac035531878c8d15c2b09b36d/%23dst100344" </w:instrText>
      </w:r>
      <w:r>
        <w:fldChar w:fldCharType="separate"/>
      </w:r>
      <w:r>
        <w:rPr>
          <w:rStyle w:val="Hyperlink"/>
          <w:lang w:val="ru-RU" w:eastAsia="ru-RU" w:bidi="ru-RU"/>
          <w:w w:val="100"/>
          <w:spacing w:val="0"/>
          <w:position w:val="0"/>
        </w:rPr>
        <w:t xml:space="preserve"> 2 </w:t>
      </w:r>
      <w:r>
        <w:fldChar w:fldCharType="end"/>
      </w:r>
      <w:r>
        <w:rPr>
          <w:lang w:val="ru-RU" w:eastAsia="ru-RU" w:bidi="ru-RU"/>
          <w:w w:val="100"/>
          <w:spacing w:val="0"/>
          <w:color w:val="000000"/>
          <w:position w:val="0"/>
        </w:rPr>
        <w:t>и</w:t>
      </w:r>
      <w:r>
        <w:fldChar w:fldCharType="begin"/>
      </w:r>
      <w:r>
        <w:rPr>
          <w:color w:val="000000"/>
        </w:rPr>
        <w:instrText> HYPERLINK "http://www.consultant.ru/document/cons_doc_LAW_324349/be7f337d9b35705ac035531878c8d15c2b09b36d/%23dst74" </w:instrText>
      </w:r>
      <w:r>
        <w:fldChar w:fldCharType="separate"/>
      </w:r>
      <w:r>
        <w:rPr>
          <w:rStyle w:val="Hyperlink"/>
          <w:lang w:val="ru-RU" w:eastAsia="ru-RU" w:bidi="ru-RU"/>
          <w:w w:val="100"/>
          <w:spacing w:val="0"/>
          <w:position w:val="0"/>
        </w:rPr>
        <w:t xml:space="preserve"> 2.1 </w:t>
      </w:r>
      <w:r>
        <w:fldChar w:fldCharType="end"/>
      </w:r>
      <w:r>
        <w:rPr>
          <w:lang w:val="ru-RU" w:eastAsia="ru-RU" w:bidi="ru-RU"/>
          <w:w w:val="100"/>
          <w:spacing w:val="0"/>
          <w:color w:val="000000"/>
          <w:position w:val="0"/>
        </w:rPr>
        <w:t>(при наличии таких требований)</w:t>
      </w:r>
      <w:r>
        <w:fldChar w:fldCharType="begin"/>
      </w:r>
      <w:r>
        <w:rPr>
          <w:color w:val="000000"/>
        </w:rPr>
        <w:instrText> HYPERLINK "http://www.consultant.ru/document/cons_doc_LAW_324349/be7f337d9b35705ac035531878c8d15c2b09b36d/%23dst100334" </w:instrText>
      </w:r>
      <w:r>
        <w:fldChar w:fldCharType="separate"/>
      </w:r>
      <w:r>
        <w:rPr>
          <w:rStyle w:val="Hyperlink"/>
          <w:lang w:val="ru-RU" w:eastAsia="ru-RU" w:bidi="ru-RU"/>
          <w:w w:val="100"/>
          <w:spacing w:val="0"/>
          <w:position w:val="0"/>
        </w:rPr>
        <w:t xml:space="preserve"> статьи 31 </w:t>
      </w:r>
      <w:r>
        <w:fldChar w:fldCharType="end"/>
      </w:r>
      <w:r>
        <w:rPr>
          <w:lang w:val="ru-RU" w:eastAsia="ru-RU" w:bidi="ru-RU"/>
          <w:w w:val="100"/>
          <w:spacing w:val="0"/>
          <w:color w:val="000000"/>
          <w:position w:val="0"/>
        </w:rPr>
        <w:t>настоящего Федерального закона;</w:t>
      </w:r>
    </w:p>
    <w:p>
      <w:pPr>
        <w:pStyle w:val="Style9"/>
        <w:numPr>
          <w:ilvl w:val="0"/>
          <w:numId w:val="5"/>
        </w:numPr>
        <w:widowControl w:val="0"/>
        <w:keepNext w:val="0"/>
        <w:keepLines w:val="0"/>
        <w:shd w:val="clear" w:color="auto" w:fill="auto"/>
        <w:bidi w:val="0"/>
        <w:jc w:val="both"/>
        <w:spacing w:before="0" w:after="0" w:line="240" w:lineRule="exact"/>
        <w:ind w:left="20" w:right="1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w:t>
      </w:r>
      <w:r>
        <w:fldChar w:fldCharType="begin"/>
      </w:r>
      <w:r>
        <w:rPr>
          <w:color w:val="000000"/>
        </w:rPr>
        <w:instrText> HYPERLINK "http://www.consultant.ru/document/cons_doc_LAW_324349/2c1e3551b4209a9fa5744534f7525ac7430624eb/%23dst100116" </w:instrText>
      </w:r>
      <w:r>
        <w:fldChar w:fldCharType="separate"/>
      </w:r>
      <w:r>
        <w:rPr>
          <w:rStyle w:val="Hyperlink"/>
          <w:lang w:val="ru-RU" w:eastAsia="ru-RU" w:bidi="ru-RU"/>
          <w:w w:val="100"/>
          <w:spacing w:val="0"/>
          <w:position w:val="0"/>
        </w:rPr>
        <w:t xml:space="preserve"> статьей</w:t>
      </w:r>
      <w:r>
        <w:fldChar w:fldCharType="end"/>
      </w:r>
      <w:r>
        <w:rPr>
          <w:lang w:val="ru-RU" w:eastAsia="ru-RU" w:bidi="ru-RU"/>
          <w:w w:val="100"/>
          <w:spacing w:val="0"/>
          <w:color w:val="000000"/>
          <w:position w:val="0"/>
        </w:rPr>
        <w:t xml:space="preserve"> </w:t>
      </w:r>
      <w:r>
        <w:fldChar w:fldCharType="begin"/>
      </w:r>
      <w:r>
        <w:rPr>
          <w:color w:val="000000"/>
        </w:rPr>
        <w:instrText> HYPERLINK "http://www.consultant.ru/document/cons_doc_LAW_324349/2c1e3551b4209a9fa5744534f7525ac7430624eb/%23dst100116" </w:instrText>
      </w:r>
      <w:r>
        <w:fldChar w:fldCharType="separate"/>
      </w:r>
      <w:r>
        <w:rPr>
          <w:rStyle w:val="Hyperlink"/>
          <w:lang w:val="ru-RU" w:eastAsia="ru-RU" w:bidi="ru-RU"/>
          <w:w w:val="100"/>
          <w:spacing w:val="0"/>
          <w:position w:val="0"/>
        </w:rPr>
        <w:t xml:space="preserve">14 </w:t>
      </w:r>
      <w:r>
        <w:fldChar w:fldCharType="end"/>
      </w:r>
      <w:r>
        <w:rPr>
          <w:lang w:val="ru-RU" w:eastAsia="ru-RU" w:bidi="ru-RU"/>
          <w:w w:val="100"/>
          <w:spacing w:val="0"/>
          <w:color w:val="000000"/>
          <w:position w:val="0"/>
        </w:rPr>
        <w:t>настоящего Федерального закона.</w:t>
      </w:r>
    </w:p>
    <w:p>
      <w:pPr>
        <w:pStyle w:val="Style9"/>
        <w:widowControl w:val="0"/>
        <w:keepNext w:val="0"/>
        <w:keepLines w:val="0"/>
        <w:shd w:val="clear" w:color="auto" w:fill="auto"/>
        <w:bidi w:val="0"/>
        <w:jc w:val="both"/>
        <w:spacing w:before="0" w:after="0" w:line="240" w:lineRule="exact"/>
        <w:ind w:left="20" w:right="120" w:firstLine="720"/>
      </w:pPr>
      <w:r>
        <w:rPr>
          <w:lang w:val="ru-RU" w:eastAsia="ru-RU" w:bidi="ru-RU"/>
          <w:w w:val="100"/>
          <w:spacing w:val="0"/>
          <w:color w:val="000000"/>
          <w:position w:val="0"/>
        </w:rPr>
        <w:t>В силу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w:t>
      </w:r>
      <w:r>
        <w:fldChar w:fldCharType="begin"/>
      </w:r>
      <w:r>
        <w:rPr>
          <w:color w:val="000000"/>
        </w:rPr>
        <w:instrText> HYPERLINK "http://www.consultant.ru/document/cons_doc_LAW_324349/bbb846d9a7e000191f9518c5e51964b47184fbc0/%23dst100930" </w:instrText>
      </w:r>
      <w:r>
        <w:fldChar w:fldCharType="separate"/>
      </w:r>
      <w:r>
        <w:rPr>
          <w:rStyle w:val="Hyperlink"/>
          <w:lang w:val="ru-RU" w:eastAsia="ru-RU" w:bidi="ru-RU"/>
          <w:w w:val="100"/>
          <w:spacing w:val="0"/>
          <w:position w:val="0"/>
        </w:rPr>
        <w:t xml:space="preserve"> частью 6 </w:t>
      </w:r>
      <w:r>
        <w:fldChar w:fldCharType="end"/>
      </w:r>
      <w:r>
        <w:rPr>
          <w:lang w:val="ru-RU" w:eastAsia="ru-RU" w:bidi="ru-RU"/>
          <w:w w:val="100"/>
          <w:spacing w:val="0"/>
          <w:color w:val="000000"/>
          <w:position w:val="0"/>
        </w:rPr>
        <w:t>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w:t>
      </w:r>
      <w:r>
        <w:fldChar w:fldCharType="begin"/>
      </w:r>
      <w:r>
        <w:rPr>
          <w:color w:val="000000"/>
        </w:rPr>
        <w:instrText> HYPERLINK "http://www.consultant.ru/document/cons_doc_LAW_324349/1cae86666aac2a3bc0b45916a0bbc0795cc340a2/%23dst750" </w:instrText>
      </w:r>
      <w:r>
        <w:fldChar w:fldCharType="separate"/>
      </w:r>
      <w:r>
        <w:rPr>
          <w:rStyle w:val="Hyperlink"/>
          <w:lang w:val="ru-RU" w:eastAsia="ru-RU" w:bidi="ru-RU"/>
          <w:w w:val="100"/>
          <w:spacing w:val="0"/>
          <w:position w:val="0"/>
        </w:rPr>
        <w:t xml:space="preserve"> пунктом 5 части 5 статьи</w:t>
      </w:r>
      <w:r>
        <w:fldChar w:fldCharType="end"/>
      </w:r>
      <w:r>
        <w:rPr>
          <w:lang w:val="ru-RU" w:eastAsia="ru-RU" w:bidi="ru-RU"/>
          <w:w w:val="100"/>
          <w:spacing w:val="0"/>
          <w:color w:val="000000"/>
          <w:position w:val="0"/>
        </w:rPr>
        <w:t xml:space="preserve"> </w:t>
      </w:r>
      <w:r>
        <w:fldChar w:fldCharType="begin"/>
      </w:r>
      <w:r>
        <w:rPr>
          <w:color w:val="000000"/>
        </w:rPr>
        <w:instrText> HYPERLINK "http://www.consultant.ru/document/cons_doc_LAW_324349/1cae86666aac2a3bc0b45916a0bbc0795cc340a2/%23dst750" </w:instrText>
      </w:r>
      <w:r>
        <w:fldChar w:fldCharType="separate"/>
      </w:r>
      <w:r>
        <w:rPr>
          <w:rStyle w:val="Hyperlink"/>
          <w:lang w:val="ru-RU" w:eastAsia="ru-RU" w:bidi="ru-RU"/>
          <w:w w:val="100"/>
          <w:spacing w:val="0"/>
          <w:position w:val="0"/>
        </w:rPr>
        <w:t xml:space="preserve">66 </w:t>
      </w:r>
      <w:r>
        <w:fldChar w:fldCharType="end"/>
      </w:r>
      <w:r>
        <w:rPr>
          <w:lang w:val="ru-RU" w:eastAsia="ru-RU" w:bidi="ru-RU"/>
          <w:w w:val="100"/>
          <w:spacing w:val="0"/>
          <w:color w:val="000000"/>
          <w:position w:val="0"/>
        </w:rPr>
        <w:t>настоящего Федерального закона, а также</w:t>
      </w:r>
      <w:r>
        <w:fldChar w:fldCharType="begin"/>
      </w:r>
      <w:r>
        <w:rPr>
          <w:color w:val="000000"/>
        </w:rPr>
        <w:instrText> HYPERLINK "http://www.consultant.ru/document/cons_doc_LAW_324349/1cae86666aac2a3bc0b45916a0bbc0795cc340a2/%23dst751" </w:instrText>
      </w:r>
      <w:r>
        <w:fldChar w:fldCharType="separate"/>
      </w:r>
      <w:r>
        <w:rPr>
          <w:rStyle w:val="Hyperlink"/>
          <w:lang w:val="ru-RU" w:eastAsia="ru-RU" w:bidi="ru-RU"/>
          <w:w w:val="100"/>
          <w:spacing w:val="0"/>
          <w:position w:val="0"/>
        </w:rPr>
        <w:t xml:space="preserve"> пунктом 6 части 5 статьи 66н</w:t>
      </w:r>
      <w:r>
        <w:fldChar w:fldCharType="end"/>
      </w:r>
      <w:r>
        <w:rPr>
          <w:lang w:val="ru-RU" w:eastAsia="ru-RU" w:bidi="ru-RU"/>
          <w:w w:val="100"/>
          <w:spacing w:val="0"/>
          <w:color w:val="000000"/>
          <w:position w:val="0"/>
        </w:rPr>
        <w:t>астоящего Федерального закона, за исключением случая закупки товаров, работ, услуг, в отношении которых установлен запрет, предусмотренный</w:t>
      </w:r>
      <w:r>
        <w:fldChar w:fldCharType="begin"/>
      </w:r>
      <w:r>
        <w:rPr>
          <w:color w:val="000000"/>
        </w:rPr>
        <w:instrText> HYPERLINK "http://www.consultant.ru/document/cons_doc_LAW_324349/2c1e3551b4209a9fa5744534f7525ac7430624eb/%23dst100116" </w:instrText>
      </w:r>
      <w:r>
        <w:fldChar w:fldCharType="separate"/>
      </w:r>
      <w:r>
        <w:rPr>
          <w:rStyle w:val="Hyperlink"/>
          <w:lang w:val="ru-RU" w:eastAsia="ru-RU" w:bidi="ru-RU"/>
          <w:w w:val="100"/>
          <w:spacing w:val="0"/>
          <w:position w:val="0"/>
        </w:rPr>
        <w:t xml:space="preserve"> статьей 14 </w:t>
      </w:r>
      <w:r>
        <w:fldChar w:fldCharType="end"/>
      </w:r>
      <w:r>
        <w:rPr>
          <w:lang w:val="ru-RU" w:eastAsia="ru-RU" w:bidi="ru-RU"/>
          <w:w w:val="100"/>
          <w:spacing w:val="0"/>
          <w:color w:val="000000"/>
          <w:position w:val="0"/>
        </w:rPr>
        <w:t>настоящего Федерального закона.</w:t>
      </w:r>
    </w:p>
    <w:p>
      <w:pPr>
        <w:pStyle w:val="Style9"/>
        <w:widowControl w:val="0"/>
        <w:keepNext w:val="0"/>
        <w:keepLines w:val="0"/>
        <w:shd w:val="clear" w:color="auto" w:fill="auto"/>
        <w:bidi w:val="0"/>
        <w:jc w:val="both"/>
        <w:spacing w:before="0" w:after="0" w:line="240" w:lineRule="exact"/>
        <w:ind w:left="20" w:right="120" w:firstLine="720"/>
      </w:pPr>
      <w:r>
        <w:rPr>
          <w:lang w:val="ru-RU" w:eastAsia="ru-RU" w:bidi="ru-RU"/>
          <w:w w:val="100"/>
          <w:spacing w:val="0"/>
          <w:color w:val="000000"/>
          <w:position w:val="0"/>
        </w:rPr>
        <w:t>Таким образом, Комиссия Свердловского УФАС России приходит к выводу, что решение о признании заявки участника закупки ООО «Победитель тендера» не соответствующей требования закупочной документации, Закона о контрактной системе по основаниям, указанным в Протоколе подведения итогов электронного аукциона от 15.10.2021 №0362100014421000013-3, аукционной комиссией было принято правомерно.</w:t>
      </w:r>
    </w:p>
    <w:p>
      <w:pPr>
        <w:pStyle w:val="Style9"/>
        <w:widowControl w:val="0"/>
        <w:keepNext w:val="0"/>
        <w:keepLines w:val="0"/>
        <w:shd w:val="clear" w:color="auto" w:fill="auto"/>
        <w:bidi w:val="0"/>
        <w:jc w:val="both"/>
        <w:spacing w:before="0" w:after="692" w:line="240" w:lineRule="exact"/>
        <w:ind w:left="20" w:right="1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pPr>
        <w:pStyle w:val="Style9"/>
        <w:widowControl w:val="0"/>
        <w:keepNext w:val="0"/>
        <w:keepLines w:val="0"/>
        <w:shd w:val="clear" w:color="auto" w:fill="auto"/>
        <w:bidi w:val="0"/>
        <w:spacing w:before="0" w:after="249" w:line="200" w:lineRule="exact"/>
        <w:ind w:left="100" w:right="0" w:firstLine="0"/>
      </w:pPr>
      <w:r>
        <w:rPr>
          <w:lang w:val="ru-RU" w:eastAsia="ru-RU" w:bidi="ru-RU"/>
          <w:w w:val="100"/>
          <w:spacing w:val="0"/>
          <w:color w:val="000000"/>
          <w:position w:val="0"/>
        </w:rPr>
        <w:t>Р Е Ш И Л А:</w:t>
      </w:r>
    </w:p>
    <w:p>
      <w:pPr>
        <w:pStyle w:val="Style9"/>
        <w:numPr>
          <w:ilvl w:val="0"/>
          <w:numId w:val="7"/>
        </w:numPr>
        <w:widowControl w:val="0"/>
        <w:keepNext w:val="0"/>
        <w:keepLines w:val="0"/>
        <w:shd w:val="clear" w:color="auto" w:fill="auto"/>
        <w:bidi w:val="0"/>
        <w:jc w:val="both"/>
        <w:spacing w:before="0" w:after="0" w:line="200" w:lineRule="exact"/>
        <w:ind w:left="20" w:right="0" w:firstLine="720"/>
      </w:pPr>
      <w:r>
        <w:rPr>
          <w:lang w:val="ru-RU" w:eastAsia="ru-RU" w:bidi="ru-RU"/>
          <w:w w:val="100"/>
          <w:spacing w:val="0"/>
          <w:color w:val="000000"/>
          <w:position w:val="0"/>
        </w:rPr>
        <w:t xml:space="preserve"> Жалобу ООО «Победитель тендера» признать необоснованной.</w:t>
      </w:r>
    </w:p>
    <w:p>
      <w:pPr>
        <w:pStyle w:val="Style9"/>
        <w:numPr>
          <w:ilvl w:val="0"/>
          <w:numId w:val="7"/>
        </w:numPr>
        <w:widowControl w:val="0"/>
        <w:keepNext w:val="0"/>
        <w:keepLines w:val="0"/>
        <w:shd w:val="clear" w:color="auto" w:fill="auto"/>
        <w:bidi w:val="0"/>
        <w:jc w:val="both"/>
        <w:spacing w:before="0" w:after="0" w:line="235" w:lineRule="exact"/>
        <w:ind w:left="20" w:right="120" w:firstLine="720"/>
      </w:pPr>
      <w:r>
        <w:rPr>
          <w:lang w:val="ru-RU" w:eastAsia="ru-RU" w:bidi="ru-RU"/>
          <w:w w:val="100"/>
          <w:spacing w:val="0"/>
          <w:color w:val="000000"/>
          <w:position w:val="0"/>
        </w:rPr>
        <w:t xml:space="preserve"> В действиях заказчика в лице Федерального государственного бюджетного образовательного учреждения высшего образования «Уральский государственный юридический университет», его комиссии нарушений Закона о контрактной системе не выявлено.</w:t>
      </w:r>
    </w:p>
    <w:p>
      <w:pPr>
        <w:pStyle w:val="Style9"/>
        <w:numPr>
          <w:ilvl w:val="0"/>
          <w:numId w:val="7"/>
        </w:numPr>
        <w:widowControl w:val="0"/>
        <w:keepNext w:val="0"/>
        <w:keepLines w:val="0"/>
        <w:shd w:val="clear" w:color="auto" w:fill="auto"/>
        <w:bidi w:val="0"/>
        <w:jc w:val="both"/>
        <w:spacing w:before="0" w:after="180" w:line="235" w:lineRule="exact"/>
        <w:ind w:left="20" w:right="120" w:firstLine="720"/>
      </w:pPr>
      <w:r>
        <w:rPr>
          <w:lang w:val="ru-RU" w:eastAsia="ru-RU" w:bidi="ru-RU"/>
          <w:w w:val="100"/>
          <w:spacing w:val="0"/>
          <w:color w:val="000000"/>
          <w:position w:val="0"/>
        </w:rPr>
        <w:t xml:space="preserve"> Заказчику в лице Федерального государственного бюджетного образовательного учреждения высшего образования «Уральский государственный юридический университет», его комиссии предписание об устранении нарушений законодательства о контрактной системе не выдавать.</w:t>
      </w:r>
    </w:p>
    <w:p>
      <w:pPr>
        <w:pStyle w:val="Style9"/>
        <w:widowControl w:val="0"/>
        <w:keepNext w:val="0"/>
        <w:keepLines w:val="0"/>
        <w:shd w:val="clear" w:color="auto" w:fill="auto"/>
        <w:bidi w:val="0"/>
        <w:jc w:val="both"/>
        <w:spacing w:before="0" w:after="0" w:line="235" w:lineRule="exact"/>
        <w:ind w:left="20" w:right="120" w:firstLine="720"/>
        <w:sectPr>
          <w:type w:val="continuous"/>
          <w:pgSz w:w="11906" w:h="16838"/>
          <w:pgMar w:top="1095" w:left="934" w:right="910" w:bottom="889"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jc w:val="left"/>
        <w:spacing w:before="0" w:after="6" w:line="200" w:lineRule="exact"/>
        <w:ind w:left="24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right"/>
        <w:spacing w:before="0" w:after="310" w:line="200" w:lineRule="exact"/>
        <w:ind w:left="0" w:right="0" w:firstLine="0"/>
      </w:pPr>
      <w:r>
        <w:rPr>
          <w:lang w:val="ru-RU" w:eastAsia="ru-RU" w:bidi="ru-RU"/>
          <w:w w:val="100"/>
          <w:spacing w:val="0"/>
          <w:color w:val="000000"/>
          <w:position w:val="0"/>
        </w:rPr>
        <w:t>*</w:t>
      </w:r>
    </w:p>
    <w:p>
      <w:pPr>
        <w:pStyle w:val="Style5"/>
        <w:widowControl w:val="0"/>
        <w:keepNext w:val="0"/>
        <w:keepLines w:val="0"/>
        <w:shd w:val="clear" w:color="auto" w:fill="auto"/>
        <w:bidi w:val="0"/>
        <w:jc w:val="left"/>
        <w:spacing w:before="0" w:after="326" w:line="120" w:lineRule="exact"/>
        <w:ind w:left="240" w:right="0" w:firstLine="0"/>
      </w:pPr>
      <w:r>
        <w:rPr>
          <w:lang w:val="ru-RU" w:eastAsia="ru-RU" w:bidi="ru-RU"/>
          <w:w w:val="100"/>
          <w:spacing w:val="0"/>
          <w:color w:val="000000"/>
          <w:position w:val="0"/>
        </w:rPr>
        <w:t>* *</w:t>
      </w:r>
    </w:p>
    <w:p>
      <w:pPr>
        <w:pStyle w:val="Style7"/>
        <w:widowControl w:val="0"/>
        <w:keepNext w:val="0"/>
        <w:keepLines w:val="0"/>
        <w:shd w:val="clear" w:color="auto" w:fill="auto"/>
        <w:bidi w:val="0"/>
        <w:spacing w:before="0" w:after="0" w:line="120" w:lineRule="exact"/>
        <w:ind w:left="0" w:right="0" w:firstLine="0"/>
      </w:pPr>
      <w:r>
        <w:rPr>
          <w:lang w:val="ru-RU" w:eastAsia="ru-RU" w:bidi="ru-RU"/>
          <w:w w:val="100"/>
          <w:spacing w:val="0"/>
          <w:color w:val="000000"/>
          <w:position w:val="0"/>
        </w:rPr>
        <w:t>*</w:t>
      </w:r>
    </w:p>
    <w:sectPr>
      <w:type w:val="continuous"/>
      <w:pgSz w:w="11906" w:h="16838"/>
      <w:pgMar w:top="1095" w:left="934" w:right="910" w:bottom="88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chicago"/>
      <w:numRestart w:val="eachPage"/>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Сноска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Сноска (2)_"/>
    <w:basedOn w:val="DefaultParagraphFont"/>
    <w:link w:val="Style5"/>
    <w:rPr>
      <w:b w:val="0"/>
      <w:bCs w:val="0"/>
      <w:i w:val="0"/>
      <w:iCs w:val="0"/>
      <w:u w:val="none"/>
      <w:strike w:val="0"/>
      <w:smallCaps w:val="0"/>
      <w:sz w:val="12"/>
      <w:szCs w:val="12"/>
      <w:rFonts w:ascii="Times New Roman" w:eastAsia="Times New Roman" w:hAnsi="Times New Roman" w:cs="Times New Roman"/>
    </w:rPr>
  </w:style>
  <w:style w:type="character" w:customStyle="1" w:styleId="CharStyle8">
    <w:name w:val="Сноска (3)_"/>
    <w:basedOn w:val="DefaultParagraphFont"/>
    <w:link w:val="Style7"/>
    <w:rPr>
      <w:b w:val="0"/>
      <w:bCs w:val="0"/>
      <w:i w:val="0"/>
      <w:iCs w:val="0"/>
      <w:u w:val="none"/>
      <w:strike w:val="0"/>
      <w:smallCaps w:val="0"/>
      <w:sz w:val="12"/>
      <w:szCs w:val="1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Подпись к таблице_"/>
    <w:basedOn w:val="DefaultParagraphFont"/>
    <w:link w:val="Style11"/>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Подпись к таблице"/>
    <w:basedOn w:val="CharStyle12"/>
    <w:rPr>
      <w:lang w:val="ru-RU" w:eastAsia="ru-RU" w:bidi="ru-RU"/>
      <w:u w:val="single"/>
      <w:w w:val="100"/>
      <w:spacing w:val="0"/>
      <w:color w:val="000000"/>
      <w:position w:val="0"/>
    </w:rPr>
  </w:style>
  <w:style w:type="character" w:customStyle="1" w:styleId="CharStyle14">
    <w:name w:val="Основной текст"/>
    <w:basedOn w:val="CharStyle10"/>
    <w:rPr>
      <w:lang w:val="ru-RU" w:eastAsia="ru-RU" w:bidi="ru-RU"/>
      <w:w w:val="100"/>
      <w:spacing w:val="0"/>
      <w:color w:val="000000"/>
      <w:position w:val="0"/>
    </w:rPr>
  </w:style>
  <w:style w:type="character" w:customStyle="1" w:styleId="CharStyle15">
    <w:name w:val="Основной текст"/>
    <w:basedOn w:val="CharStyle10"/>
    <w:rPr>
      <w:lang w:val="ru-RU" w:eastAsia="ru-RU" w:bidi="ru-RU"/>
      <w:u w:val="single"/>
      <w:w w:val="100"/>
      <w:spacing w:val="0"/>
      <w:color w:val="000000"/>
      <w:position w:val="0"/>
    </w:rPr>
  </w:style>
  <w:style w:type="paragraph" w:customStyle="1" w:styleId="Style3">
    <w:name w:val="Сноска"/>
    <w:basedOn w:val="Normal"/>
    <w:link w:val="CharStyle4"/>
    <w:pPr>
      <w:widowControl w:val="0"/>
      <w:shd w:val="clear" w:color="auto" w:fill="FFFFFF"/>
      <w:spacing w:after="12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Сноска (2)"/>
    <w:basedOn w:val="Normal"/>
    <w:link w:val="CharStyle6"/>
    <w:pPr>
      <w:widowControl w:val="0"/>
      <w:shd w:val="clear" w:color="auto" w:fill="FFFFFF"/>
      <w:spacing w:before="360" w:after="360" w:line="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7">
    <w:name w:val="Сноска (3)"/>
    <w:basedOn w:val="Normal"/>
    <w:link w:val="CharStyle8"/>
    <w:pPr>
      <w:widowControl w:val="0"/>
      <w:shd w:val="clear" w:color="auto" w:fill="FFFFFF"/>
      <w:jc w:val="right"/>
      <w:spacing w:before="360" w:line="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after="180" w:line="254"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1">
    <w:name w:val="Подпись к таблице"/>
    <w:basedOn w:val="Normal"/>
    <w:link w:val="CharStyle12"/>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