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h="170" w:wrap="around" w:vAnchor="text" w:hAnchor="margin" w:x="-282" w:y="4147"/>
        <w:widowControl w:val="0"/>
        <w:keepNext w:val="0"/>
        <w:keepLines w:val="0"/>
        <w:shd w:val="clear" w:color="auto" w:fill="auto"/>
        <w:bidi w:val="0"/>
        <w:jc w:val="left"/>
        <w:spacing w:before="0" w:after="0" w:line="170" w:lineRule="exact"/>
        <w:ind w:left="0" w:right="0" w:firstLine="0"/>
      </w:pPr>
      <w:r>
        <w:rPr>
          <w:rStyle w:val="CharStyle5"/>
          <w:spacing w:val="0"/>
        </w:rPr>
        <w:t>На №</w:t>
      </w:r>
    </w:p>
    <w:p>
      <w:pPr>
        <w:widowControl w:val="0"/>
        <w:rPr>
          <w:sz w:val="2"/>
          <w:szCs w:val="2"/>
        </w:rPr>
      </w:pPr>
    </w:p>
    <w:p>
      <w:pPr>
        <w:pStyle w:val="Style6"/>
        <w:widowControl w:val="0"/>
        <w:keepNext w:val="0"/>
        <w:keepLines w:val="0"/>
        <w:shd w:val="clear" w:color="auto" w:fill="auto"/>
        <w:bidi w:val="0"/>
        <w:spacing w:before="0" w:after="188"/>
        <w:ind w:left="20" w:right="0" w:firstLine="0"/>
      </w:pPr>
      <w:r>
        <w:rPr>
          <w:rStyle w:val="CharStyle8"/>
          <w:b/>
          <w:bCs/>
        </w:rPr>
        <w:t>ФЕДЕРАЛЬНАЯ АНТИМОНОПОЛЬНАЯ СЛУЖБА</w:t>
      </w:r>
    </w:p>
    <w:p>
      <w:pPr>
        <w:pStyle w:val="Style6"/>
        <w:widowControl w:val="0"/>
        <w:keepNext w:val="0"/>
        <w:keepLines w:val="0"/>
        <w:shd w:val="clear" w:color="auto" w:fill="auto"/>
        <w:bidi w:val="0"/>
        <w:spacing w:before="0" w:after="192" w:line="230" w:lineRule="exact"/>
        <w:ind w:left="20" w:right="0" w:firstLine="0"/>
      </w:pPr>
      <w:r>
        <w:rPr>
          <w:rStyle w:val="CharStyle8"/>
          <w:b/>
          <w:bCs/>
        </w:rPr>
        <w:t>УПРАВЛЕ</w:t>
      </w:r>
      <w:r>
        <w:rPr>
          <w:rStyle w:val="CharStyle9"/>
          <w:b/>
          <w:bCs/>
        </w:rPr>
        <w:t>НИЕ</w:t>
      </w:r>
      <w:r>
        <w:rPr>
          <w:rStyle w:val="CharStyle8"/>
          <w:b/>
          <w:bCs/>
        </w:rPr>
        <w:t xml:space="preserve"> Федеральной антимонопольной службы по Нижегородской области</w:t>
      </w:r>
    </w:p>
    <w:p>
      <w:pPr>
        <w:pStyle w:val="Style3"/>
        <w:widowControl w:val="0"/>
        <w:keepNext w:val="0"/>
        <w:keepLines w:val="0"/>
        <w:shd w:val="clear" w:color="auto" w:fill="auto"/>
        <w:bidi w:val="0"/>
        <w:jc w:val="left"/>
        <w:spacing w:before="0" w:after="161"/>
        <w:ind w:left="20" w:right="660" w:firstLine="1140"/>
      </w:pPr>
      <w:r>
        <w:rPr>
          <w:rStyle w:val="CharStyle11"/>
        </w:rPr>
        <w:t xml:space="preserve">пл. Горького, 6 г. Нижний Новгород, 603000 тел. (831) 431 -73-73, (831) 431-73-83 </w:t>
      </w:r>
      <w:r>
        <w:rPr>
          <w:rStyle w:val="CharStyle12"/>
        </w:rPr>
        <w:t xml:space="preserve">e-mail: </w:t>
      </w:r>
      <w:r>
        <w:fldChar w:fldCharType="begin"/>
      </w:r>
      <w:r>
        <w:rPr>
          <w:rStyle w:val="CharStyle12"/>
        </w:rPr>
        <w:instrText> HYPERLINK "mailto:to52@fas.gov.ru" </w:instrText>
      </w:r>
      <w:r>
        <w:fldChar w:fldCharType="separate"/>
      </w:r>
      <w:r>
        <w:rPr>
          <w:rStyle w:val="Hyperlink"/>
        </w:rPr>
        <w:t>to52@fas.gov.ru</w:t>
      </w:r>
      <w:r>
        <w:fldChar w:fldCharType="end"/>
      </w:r>
    </w:p>
    <w:p>
      <w:pPr>
        <w:pStyle w:val="Style13"/>
        <w:tabs>
          <w:tab w:leader="none" w:pos="1923" w:val="right"/>
          <w:tab w:leader="none" w:pos="2274" w:val="left"/>
        </w:tabs>
        <w:widowControl w:val="0"/>
        <w:keepNext w:val="0"/>
        <w:keepLines w:val="0"/>
        <w:shd w:val="clear" w:color="auto" w:fill="auto"/>
        <w:bidi w:val="0"/>
        <w:spacing w:before="0" w:after="302" w:line="240" w:lineRule="exact"/>
        <w:ind w:left="80" w:right="0" w:firstLine="0"/>
      </w:pPr>
      <w:r>
        <w:fldChar w:fldCharType="begin"/>
      </w:r>
      <w:r>
        <w:rPr>
          <w:color w:val="000000"/>
        </w:rPr>
        <w:instrText> HYPERLINK "file://f207ca94-a13c-4ba0-b72d-f018c9eed8f1/" </w:instrText>
      </w:r>
      <w:r>
        <w:fldChar w:fldCharType="separate"/>
      </w:r>
      <w:r>
        <w:rPr>
          <w:rStyle w:val="Hyperlink"/>
          <w:lang w:val="ru-RU" w:eastAsia="ru-RU" w:bidi="ru-RU"/>
          <w:sz w:val="24"/>
          <w:szCs w:val="24"/>
          <w:w w:val="100"/>
          <w:position w:val="0"/>
        </w:rPr>
        <w:t>27.10.2021</w:t>
      </w:r>
      <w:r>
        <w:fldChar w:fldCharType="end"/>
      </w:r>
      <w:r>
        <w:rPr>
          <w:lang w:val="ru-RU" w:eastAsia="ru-RU" w:bidi="ru-RU"/>
          <w:sz w:val="24"/>
          <w:szCs w:val="24"/>
          <w:w w:val="100"/>
          <w:color w:val="000000"/>
          <w:position w:val="0"/>
        </w:rPr>
        <w:tab/>
        <w:t>№</w:t>
        <w:tab/>
        <w:t>АБ/24017/21</w:t>
      </w:r>
    </w:p>
    <w:p>
      <w:pPr>
        <w:pStyle w:val="Style15"/>
        <w:widowControl w:val="0"/>
        <w:keepNext w:val="0"/>
        <w:keepLines w:val="0"/>
        <w:shd w:val="clear" w:color="auto" w:fill="auto"/>
        <w:bidi w:val="0"/>
        <w:spacing w:before="0" w:after="0" w:line="120" w:lineRule="exact"/>
        <w:ind w:left="20" w:right="0" w:firstLine="0"/>
      </w:pPr>
      <w:r>
        <w:rPr>
          <w:rStyle w:val="CharStyle17"/>
        </w:rPr>
        <w:t>ОТ</w:t>
      </w:r>
    </w:p>
    <w:p>
      <w:pPr>
        <w:pStyle w:val="Style18"/>
        <w:widowControl w:val="0"/>
        <w:keepNext w:val="0"/>
        <w:keepLines w:val="0"/>
        <w:shd w:val="clear" w:color="auto" w:fill="auto"/>
        <w:bidi w:val="0"/>
        <w:jc w:val="left"/>
        <w:spacing w:before="0" w:after="296"/>
        <w:ind w:left="20" w:right="20" w:firstLine="0"/>
      </w:pPr>
      <w:r>
        <w:rPr>
          <w:lang w:val="ru-RU" w:eastAsia="ru-RU" w:bidi="ru-RU"/>
          <w:w w:val="100"/>
          <w:spacing w:val="0"/>
          <w:color w:val="000000"/>
          <w:position w:val="0"/>
        </w:rPr>
        <w:t xml:space="preserve">Управление Росрезерва по ПФО ФГКУ комбинат Приволжский 603108 г. Нижний Новгород, ул. электровозная, дом 18 </w:t>
      </w:r>
      <w:r>
        <w:fldChar w:fldCharType="begin"/>
      </w:r>
      <w:r>
        <w:rPr>
          <w:color w:val="000000"/>
        </w:rPr>
        <w:instrText> HYPERLINK "mailto:privolzhskij@vol.rosreserv.ru" </w:instrText>
      </w:r>
      <w:r>
        <w:fldChar w:fldCharType="separate"/>
      </w:r>
      <w:r>
        <w:rPr>
          <w:rStyle w:val="Hyperlink"/>
          <w:lang w:val="en-US" w:eastAsia="en-US" w:bidi="en-US"/>
          <w:w w:val="100"/>
          <w:spacing w:val="0"/>
          <w:position w:val="0"/>
        </w:rPr>
        <w:t>privolzhskij@vol.rosreserv.ru</w:t>
      </w:r>
      <w:r>
        <w:fldChar w:fldCharType="end"/>
      </w:r>
      <w:r>
        <w:rPr>
          <w:lang w:val="en-US" w:eastAsia="en-US" w:bidi="en-US"/>
          <w:w w:val="100"/>
          <w:spacing w:val="0"/>
          <w:color w:val="000000"/>
          <w:position w:val="0"/>
        </w:rPr>
        <w:t xml:space="preserve">, k- </w:t>
      </w:r>
      <w:r>
        <w:fldChar w:fldCharType="begin"/>
      </w:r>
      <w:r>
        <w:rPr>
          <w:color w:val="000000"/>
        </w:rPr>
        <w:instrText> HYPERLINK "mailto:pril@mts-nn.ru" </w:instrText>
      </w:r>
      <w:r>
        <w:fldChar w:fldCharType="separate"/>
      </w:r>
      <w:r>
        <w:rPr>
          <w:rStyle w:val="Hyperlink"/>
          <w:lang w:val="en-US" w:eastAsia="en-US" w:bidi="en-US"/>
          <w:w w:val="100"/>
          <w:spacing w:val="0"/>
          <w:position w:val="0"/>
        </w:rPr>
        <w:t>pril@mts-nn.ru</w:t>
      </w:r>
      <w:r>
        <w:fldChar w:fldCharType="end"/>
      </w:r>
    </w:p>
    <w:p>
      <w:pPr>
        <w:pStyle w:val="Style18"/>
        <w:widowControl w:val="0"/>
        <w:keepNext w:val="0"/>
        <w:keepLines w:val="0"/>
        <w:shd w:val="clear" w:color="auto" w:fill="auto"/>
        <w:bidi w:val="0"/>
        <w:jc w:val="left"/>
        <w:spacing w:before="0" w:after="0" w:line="322" w:lineRule="exact"/>
        <w:ind w:left="20" w:right="0" w:firstLine="0"/>
      </w:pPr>
      <w:r>
        <w:rPr>
          <w:lang w:val="ru-RU" w:eastAsia="ru-RU" w:bidi="ru-RU"/>
          <w:w w:val="100"/>
          <w:spacing w:val="0"/>
          <w:color w:val="000000"/>
          <w:position w:val="0"/>
        </w:rPr>
        <w:t>АО "Сбербанк-АСТ"</w:t>
      </w:r>
    </w:p>
    <w:p>
      <w:pPr>
        <w:pStyle w:val="Style18"/>
        <w:widowControl w:val="0"/>
        <w:keepNext w:val="0"/>
        <w:keepLines w:val="0"/>
        <w:shd w:val="clear" w:color="auto" w:fill="auto"/>
        <w:bidi w:val="0"/>
        <w:jc w:val="left"/>
        <w:spacing w:before="0" w:after="0" w:line="322" w:lineRule="exact"/>
        <w:ind w:left="20" w:right="20" w:firstLine="0"/>
        <w:sectPr>
          <w:footnotePr>
            <w:pos w:val="pageBottom"/>
            <w:numFmt w:val="decimal"/>
            <w:numRestart w:val="continuous"/>
          </w:footnotePr>
          <w:type w:val="continuous"/>
          <w:pgSz w:w="11906" w:h="16838"/>
          <w:pgMar w:top="161" w:left="1170" w:right="935" w:bottom="910" w:header="0" w:footer="3" w:gutter="0"/>
          <w:rtlGutter w:val="0"/>
          <w:cols w:num="2" w:space="720" w:equalWidth="0">
            <w:col w:w="3691" w:space="1286"/>
            <w:col w:w="4824"/>
          </w:cols>
          <w:noEndnote/>
          <w:docGrid w:linePitch="360"/>
        </w:sectPr>
      </w:pPr>
      <w:r>
        <w:rPr>
          <w:lang w:val="ru-RU" w:eastAsia="ru-RU" w:bidi="ru-RU"/>
          <w:w w:val="100"/>
          <w:spacing w:val="0"/>
          <w:color w:val="000000"/>
          <w:position w:val="0"/>
        </w:rPr>
        <w:t xml:space="preserve">119435, г. Москва, Большой Саввинский переулок, д. 12, стр. 9 </w:t>
      </w:r>
      <w:r>
        <w:fldChar w:fldCharType="begin"/>
      </w:r>
      <w:r>
        <w:rPr>
          <w:color w:val="000000"/>
        </w:rPr>
        <w:instrText> HYPERLINK "mailto:ko@sberbank-ast.ru" </w:instrText>
      </w:r>
      <w:r>
        <w:fldChar w:fldCharType="separate"/>
      </w:r>
      <w:r>
        <w:rPr>
          <w:rStyle w:val="Hyperlink"/>
          <w:lang w:val="en-US" w:eastAsia="en-US" w:bidi="en-US"/>
          <w:w w:val="100"/>
          <w:spacing w:val="0"/>
          <w:position w:val="0"/>
        </w:rPr>
        <w:t>ko@sberbank-ast.ru</w:t>
      </w:r>
      <w:r>
        <w:fldChar w:fldCharType="end"/>
      </w:r>
      <w:r>
        <w:rPr>
          <w:lang w:val="en-US" w:eastAsia="en-US" w:bidi="en-US"/>
          <w:w w:val="100"/>
          <w:spacing w:val="0"/>
          <w:color w:val="000000"/>
          <w:position w:val="0"/>
        </w:rPr>
        <w:t xml:space="preserve">, </w:t>
      </w:r>
      <w:r>
        <w:fldChar w:fldCharType="begin"/>
      </w:r>
      <w:r>
        <w:rPr>
          <w:color w:val="000000"/>
        </w:rPr>
        <w:instrText> HYPERLINK "mailto:info@sberbank-ast.ru" </w:instrText>
      </w:r>
      <w:r>
        <w:fldChar w:fldCharType="separate"/>
      </w:r>
      <w:r>
        <w:rPr>
          <w:rStyle w:val="Hyperlink"/>
          <w:lang w:val="en-US" w:eastAsia="en-US" w:bidi="en-US"/>
          <w:w w:val="100"/>
          <w:spacing w:val="0"/>
          <w:position w:val="0"/>
        </w:rPr>
        <w:t>info@sberbank-ast.ru</w:t>
      </w:r>
      <w:r>
        <w:fldChar w:fldCharType="end"/>
      </w:r>
    </w:p>
    <w:p>
      <w:pPr>
        <w:widowControl w:val="0"/>
        <w:spacing w:before="48" w:after="48"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20"/>
        <w:framePr w:h="205" w:wrap="around" w:vAnchor="text" w:hAnchor="margin" w:x="3604" w:y="150"/>
        <w:widowControl w:val="0"/>
        <w:keepNext w:val="0"/>
        <w:keepLines w:val="0"/>
        <w:shd w:val="clear" w:color="auto" w:fill="auto"/>
        <w:bidi w:val="0"/>
        <w:jc w:val="left"/>
        <w:spacing w:before="0" w:after="0" w:line="210" w:lineRule="exact"/>
        <w:ind w:left="100" w:right="0" w:firstLine="0"/>
      </w:pPr>
      <w:r>
        <w:rPr>
          <w:rStyle w:val="CharStyle21"/>
          <w:spacing w:val="0"/>
        </w:rPr>
        <w:t>.5-</w:t>
      </w:r>
    </w:p>
    <w:p>
      <w:pPr>
        <w:widowControl w:val="0"/>
        <w:rPr>
          <w:sz w:val="2"/>
          <w:szCs w:val="2"/>
        </w:rPr>
      </w:pPr>
    </w:p>
    <w:p>
      <w:pPr>
        <w:pStyle w:val="Style20"/>
        <w:widowControl w:val="0"/>
        <w:keepNext w:val="0"/>
        <w:keepLines w:val="0"/>
        <w:shd w:val="clear" w:color="auto" w:fill="auto"/>
        <w:bidi w:val="0"/>
        <w:spacing w:before="0" w:after="0"/>
        <w:ind w:left="0" w:right="0" w:firstLine="0"/>
      </w:pPr>
      <w:r>
        <w:rPr>
          <w:lang w:val="ru-RU" w:eastAsia="ru-RU" w:bidi="ru-RU"/>
          <w:w w:val="100"/>
          <w:spacing w:val="0"/>
          <w:color w:val="000000"/>
          <w:position w:val="0"/>
        </w:rPr>
        <w:t>Решение по делу № 052/06/105 3270/2021</w:t>
      </w:r>
    </w:p>
    <w:p>
      <w:pPr>
        <w:pStyle w:val="Style20"/>
        <w:widowControl w:val="0"/>
        <w:keepNext w:val="0"/>
        <w:keepLines w:val="0"/>
        <w:shd w:val="clear" w:color="auto" w:fill="auto"/>
        <w:bidi w:val="0"/>
        <w:spacing w:before="0" w:after="0" w:line="220" w:lineRule="exact"/>
        <w:ind w:left="0" w:right="0" w:firstLine="0"/>
      </w:pPr>
      <w:r>
        <w:rPr>
          <w:lang w:val="ru-RU" w:eastAsia="ru-RU" w:bidi="ru-RU"/>
          <w:w w:val="100"/>
          <w:spacing w:val="0"/>
          <w:color w:val="000000"/>
          <w:position w:val="0"/>
        </w:rPr>
        <w:t>Ре</w:t>
      </w:r>
    </w:p>
    <w:p>
      <w:pPr>
        <w:pStyle w:val="Style18"/>
        <w:widowControl w:val="0"/>
        <w:keepNext w:val="0"/>
        <w:keepLines w:val="0"/>
        <w:shd w:val="clear" w:color="auto" w:fill="auto"/>
        <w:bidi w:val="0"/>
        <w:jc w:val="left"/>
        <w:spacing w:before="0" w:after="0" w:line="322" w:lineRule="exact"/>
        <w:ind w:left="20" w:right="0" w:firstLine="0"/>
      </w:pPr>
      <w:r>
        <w:rPr>
          <w:lang w:val="ru-RU" w:eastAsia="ru-RU" w:bidi="ru-RU"/>
          <w:w w:val="100"/>
          <w:spacing w:val="0"/>
          <w:color w:val="000000"/>
          <w:position w:val="0"/>
        </w:rPr>
        <w:t>ООО Магнит</w:t>
      </w:r>
    </w:p>
    <w:p>
      <w:pPr>
        <w:pStyle w:val="Style18"/>
        <w:widowControl w:val="0"/>
        <w:keepNext w:val="0"/>
        <w:keepLines w:val="0"/>
        <w:shd w:val="clear" w:color="auto" w:fill="auto"/>
        <w:bidi w:val="0"/>
        <w:jc w:val="left"/>
        <w:spacing w:before="0" w:after="0" w:line="322" w:lineRule="exact"/>
        <w:ind w:left="20" w:right="0" w:firstLine="0"/>
        <w:sectPr>
          <w:type w:val="continuous"/>
          <w:pgSz w:w="11906" w:h="16838"/>
          <w:pgMar w:top="161" w:left="949" w:right="920" w:bottom="910" w:header="0" w:footer="3" w:gutter="0"/>
          <w:rtlGutter w:val="0"/>
          <w:cols w:num="2" w:space="720" w:equalWidth="0">
            <w:col w:w="3830" w:space="1368"/>
            <w:col w:w="4838"/>
          </w:cols>
          <w:noEndnote/>
          <w:docGrid w:linePitch="360"/>
        </w:sectPr>
      </w:pPr>
      <w:r>
        <w:rPr>
          <w:lang w:val="ru-RU" w:eastAsia="ru-RU" w:bidi="ru-RU"/>
          <w:w w:val="100"/>
          <w:spacing w:val="0"/>
          <w:color w:val="000000"/>
          <w:position w:val="0"/>
        </w:rPr>
        <w:t xml:space="preserve">630088, ОБЛАСТЬ НОВОСИБИРСКАЯ, ГОРОД НОВОСИБИРСК, УЛИЦА ГРОМОВА, ДОМ 14/1 </w:t>
      </w:r>
      <w:r>
        <w:fldChar w:fldCharType="begin"/>
      </w:r>
      <w:r>
        <w:rPr>
          <w:color w:val="000000"/>
        </w:rPr>
        <w:instrText> HYPERLINK "mailto:5403041834@mail.ru" </w:instrText>
      </w:r>
      <w:r>
        <w:fldChar w:fldCharType="separate"/>
      </w:r>
      <w:r>
        <w:rPr>
          <w:rStyle w:val="Hyperlink"/>
          <w:lang w:val="en-US" w:eastAsia="en-US" w:bidi="en-US"/>
          <w:w w:val="100"/>
          <w:spacing w:val="0"/>
          <w:position w:val="0"/>
        </w:rPr>
        <w:t>5403041834@mail.ru</w:t>
      </w:r>
      <w:r>
        <w:fldChar w:fldCharType="end"/>
      </w:r>
    </w:p>
    <w:p>
      <w:pPr>
        <w:widowControl w:val="0"/>
        <w:spacing w:before="87" w:after="87"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23"/>
        <w:widowControl w:val="0"/>
        <w:keepNext w:val="0"/>
        <w:keepLines w:val="0"/>
        <w:shd w:val="clear" w:color="auto" w:fill="auto"/>
        <w:bidi w:val="0"/>
        <w:spacing w:before="0" w:after="0" w:line="260" w:lineRule="exact"/>
        <w:ind w:left="0" w:right="0" w:firstLine="0"/>
      </w:pPr>
      <w:r>
        <w:rPr>
          <w:lang w:val="ru-RU" w:eastAsia="ru-RU" w:bidi="ru-RU"/>
          <w:w w:val="100"/>
          <w:spacing w:val="0"/>
          <w:color w:val="000000"/>
          <w:position w:val="0"/>
        </w:rPr>
        <w:t>РЕШЕНИЕ</w:t>
      </w:r>
    </w:p>
    <w:p>
      <w:pPr>
        <w:pStyle w:val="Style23"/>
        <w:widowControl w:val="0"/>
        <w:keepNext w:val="0"/>
        <w:keepLines w:val="0"/>
        <w:shd w:val="clear" w:color="auto" w:fill="auto"/>
        <w:bidi w:val="0"/>
        <w:spacing w:before="0" w:after="0" w:line="260" w:lineRule="exact"/>
        <w:ind w:left="0" w:right="0" w:firstLine="0"/>
        <w:sectPr>
          <w:type w:val="continuous"/>
          <w:pgSz w:w="11906" w:h="16838"/>
          <w:pgMar w:top="176" w:left="4525" w:right="4251" w:bottom="925" w:header="0" w:footer="3" w:gutter="0"/>
          <w:rtlGutter w:val="0"/>
          <w:cols w:space="720"/>
          <w:noEndnote/>
          <w:docGrid w:linePitch="360"/>
        </w:sectPr>
      </w:pPr>
      <w:r>
        <w:rPr>
          <w:lang w:val="ru-RU" w:eastAsia="ru-RU" w:bidi="ru-RU"/>
          <w:w w:val="100"/>
          <w:spacing w:val="0"/>
          <w:color w:val="000000"/>
          <w:position w:val="0"/>
        </w:rPr>
        <w:t>№052/06/105-3270/2021</w:t>
      </w:r>
    </w:p>
    <w:p>
      <w:pPr>
        <w:widowControl w:val="0"/>
        <w:spacing w:before="72" w:after="72"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8"/>
        <w:framePr w:h="250" w:vSpace="394" w:wrap="around" w:hAnchor="margin" w:x="6" w:y="8075"/>
        <w:widowControl w:val="0"/>
        <w:keepNext w:val="0"/>
        <w:keepLines w:val="0"/>
        <w:shd w:val="clear" w:color="auto" w:fill="auto"/>
        <w:bidi w:val="0"/>
        <w:jc w:val="left"/>
        <w:spacing w:before="0" w:after="0" w:line="240" w:lineRule="exact"/>
        <w:ind w:left="0" w:right="0" w:firstLine="0"/>
      </w:pPr>
      <w:r>
        <w:rPr>
          <w:rStyle w:val="CharStyle25"/>
          <w:spacing w:val="0"/>
        </w:rPr>
        <w:t>22 октября 2021 года</w:t>
      </w:r>
    </w:p>
    <w:p>
      <w:pPr>
        <w:pStyle w:val="Style18"/>
        <w:widowControl w:val="0"/>
        <w:keepNext w:val="0"/>
        <w:keepLines w:val="0"/>
        <w:shd w:val="clear" w:color="auto" w:fill="auto"/>
        <w:bidi w:val="0"/>
        <w:jc w:val="right"/>
        <w:spacing w:before="0" w:after="303" w:line="260" w:lineRule="exact"/>
        <w:ind w:left="0" w:right="20" w:firstLine="0"/>
      </w:pPr>
      <w:r>
        <w:rPr>
          <w:lang w:val="ru-RU" w:eastAsia="ru-RU" w:bidi="ru-RU"/>
          <w:w w:val="100"/>
          <w:spacing w:val="0"/>
          <w:color w:val="000000"/>
          <w:position w:val="0"/>
        </w:rPr>
        <w:t>город Нижний Новгород</w:t>
      </w:r>
    </w:p>
    <w:p>
      <w:pPr>
        <w:pStyle w:val="Style18"/>
        <w:widowControl w:val="0"/>
        <w:keepNext w:val="0"/>
        <w:keepLines w:val="0"/>
        <w:shd w:val="clear" w:color="auto" w:fill="auto"/>
        <w:bidi w:val="0"/>
        <w:jc w:val="left"/>
        <w:spacing w:before="0" w:after="0" w:line="322" w:lineRule="exact"/>
        <w:ind w:left="40" w:right="20" w:firstLine="680"/>
      </w:pPr>
      <w:r>
        <w:rPr>
          <w:lang w:val="ru-RU" w:eastAsia="ru-RU" w:bidi="ru-RU"/>
          <w:w w:val="100"/>
          <w:spacing w:val="0"/>
          <w:color w:val="000000"/>
          <w:position w:val="0"/>
        </w:rPr>
        <w:t>Комиссия Управления Федеральной антимонопольной службы по Нижегородской области по контролю в сфере закупок в составе:</w:t>
      </w:r>
    </w:p>
    <w:p>
      <w:pPr>
        <w:pStyle w:val="Style18"/>
        <w:numPr>
          <w:ilvl w:val="0"/>
          <w:numId w:val="1"/>
        </w:numPr>
        <w:tabs>
          <w:tab w:leader="none" w:pos="3102" w:val="right"/>
          <w:tab w:leader="none" w:pos="3307" w:val="left"/>
        </w:tabs>
        <w:widowControl w:val="0"/>
        <w:keepNext w:val="0"/>
        <w:keepLines w:val="0"/>
        <w:shd w:val="clear" w:color="auto" w:fill="auto"/>
        <w:bidi w:val="0"/>
        <w:jc w:val="both"/>
        <w:spacing w:before="0" w:after="0" w:line="322" w:lineRule="exact"/>
        <w:ind w:left="40" w:right="0" w:firstLine="0"/>
      </w:pPr>
      <w:r>
        <w:rPr>
          <w:lang w:val="ru-RU" w:eastAsia="ru-RU" w:bidi="ru-RU"/>
          <w:w w:val="100"/>
          <w:spacing w:val="0"/>
          <w:color w:val="000000"/>
          <w:position w:val="0"/>
        </w:rPr>
        <w:t xml:space="preserve"> Барышев А.А.</w:t>
        <w:tab/>
        <w:t>-</w:t>
        <w:tab/>
        <w:t>председатель комиссии, заместитель руководителя</w:t>
      </w:r>
    </w:p>
    <w:p>
      <w:pPr>
        <w:pStyle w:val="Style18"/>
        <w:widowControl w:val="0"/>
        <w:keepNext w:val="0"/>
        <w:keepLines w:val="0"/>
        <w:shd w:val="clear" w:color="auto" w:fill="auto"/>
        <w:bidi w:val="0"/>
        <w:jc w:val="both"/>
        <w:spacing w:before="0" w:after="0" w:line="322" w:lineRule="exact"/>
        <w:ind w:left="3240" w:right="0" w:firstLine="0"/>
      </w:pPr>
      <w:r>
        <w:rPr>
          <w:lang w:val="ru-RU" w:eastAsia="ru-RU" w:bidi="ru-RU"/>
          <w:w w:val="100"/>
          <w:spacing w:val="0"/>
          <w:color w:val="000000"/>
          <w:position w:val="0"/>
        </w:rPr>
        <w:t>управления,</w:t>
      </w:r>
    </w:p>
    <w:p>
      <w:pPr>
        <w:pStyle w:val="Style18"/>
        <w:numPr>
          <w:ilvl w:val="0"/>
          <w:numId w:val="1"/>
        </w:numPr>
        <w:tabs>
          <w:tab w:leader="none" w:pos="3102" w:val="right"/>
          <w:tab w:leader="none" w:pos="3307" w:val="left"/>
        </w:tabs>
        <w:widowControl w:val="0"/>
        <w:keepNext w:val="0"/>
        <w:keepLines w:val="0"/>
        <w:shd w:val="clear" w:color="auto" w:fill="auto"/>
        <w:bidi w:val="0"/>
        <w:jc w:val="both"/>
        <w:spacing w:before="0" w:after="0" w:line="322" w:lineRule="exact"/>
        <w:ind w:left="40" w:right="0" w:firstLine="0"/>
      </w:pPr>
      <w:r>
        <w:rPr>
          <w:lang w:val="ru-RU" w:eastAsia="ru-RU" w:bidi="ru-RU"/>
          <w:w w:val="100"/>
          <w:spacing w:val="0"/>
          <w:color w:val="000000"/>
          <w:position w:val="0"/>
        </w:rPr>
        <w:t xml:space="preserve"> Кечин Р.В.</w:t>
        <w:tab/>
        <w:t>-</w:t>
        <w:tab/>
        <w:t>член комиссии, начальник отдела контроля</w:t>
      </w:r>
    </w:p>
    <w:p>
      <w:pPr>
        <w:pStyle w:val="Style18"/>
        <w:widowControl w:val="0"/>
        <w:keepNext w:val="0"/>
        <w:keepLines w:val="0"/>
        <w:shd w:val="clear" w:color="auto" w:fill="auto"/>
        <w:bidi w:val="0"/>
        <w:jc w:val="both"/>
        <w:spacing w:before="0" w:after="0" w:line="322" w:lineRule="exact"/>
        <w:ind w:left="3240" w:right="0" w:firstLine="0"/>
      </w:pPr>
      <w:r>
        <w:rPr>
          <w:lang w:val="ru-RU" w:eastAsia="ru-RU" w:bidi="ru-RU"/>
          <w:w w:val="100"/>
          <w:spacing w:val="0"/>
          <w:color w:val="000000"/>
          <w:position w:val="0"/>
        </w:rPr>
        <w:t>государственных и муниципальных закупок,</w:t>
      </w:r>
    </w:p>
    <w:p>
      <w:pPr>
        <w:pStyle w:val="Style18"/>
        <w:numPr>
          <w:ilvl w:val="0"/>
          <w:numId w:val="1"/>
        </w:numPr>
        <w:tabs>
          <w:tab w:leader="none" w:pos="3102" w:val="right"/>
          <w:tab w:leader="none" w:pos="3307" w:val="left"/>
        </w:tabs>
        <w:widowControl w:val="0"/>
        <w:keepNext w:val="0"/>
        <w:keepLines w:val="0"/>
        <w:shd w:val="clear" w:color="auto" w:fill="auto"/>
        <w:bidi w:val="0"/>
        <w:jc w:val="both"/>
        <w:spacing w:before="0" w:after="0" w:line="322" w:lineRule="exact"/>
        <w:ind w:left="40" w:right="0" w:firstLine="0"/>
      </w:pPr>
      <w:r>
        <w:rPr>
          <w:lang w:val="ru-RU" w:eastAsia="ru-RU" w:bidi="ru-RU"/>
          <w:w w:val="100"/>
          <w:spacing w:val="0"/>
          <w:color w:val="000000"/>
          <w:position w:val="0"/>
        </w:rPr>
        <w:t xml:space="preserve"> Будрик Д.А.</w:t>
        <w:tab/>
        <w:t>-</w:t>
        <w:tab/>
        <w:t>член комиссии, ведущий специалист-эксперт отдела</w:t>
      </w:r>
    </w:p>
    <w:p>
      <w:pPr>
        <w:pStyle w:val="Style18"/>
        <w:widowControl w:val="0"/>
        <w:keepNext w:val="0"/>
        <w:keepLines w:val="0"/>
        <w:shd w:val="clear" w:color="auto" w:fill="auto"/>
        <w:bidi w:val="0"/>
        <w:jc w:val="both"/>
        <w:spacing w:before="0" w:after="0" w:line="322" w:lineRule="exact"/>
        <w:ind w:left="3240" w:right="0" w:firstLine="0"/>
      </w:pPr>
      <w:r>
        <w:rPr>
          <w:lang w:val="ru-RU" w:eastAsia="ru-RU" w:bidi="ru-RU"/>
          <w:w w:val="100"/>
          <w:spacing w:val="0"/>
          <w:color w:val="000000"/>
          <w:position w:val="0"/>
        </w:rPr>
        <w:t>контроля государственных и муниципальных закупок,</w:t>
      </w:r>
    </w:p>
    <w:p>
      <w:pPr>
        <w:pStyle w:val="Style18"/>
        <w:widowControl w:val="0"/>
        <w:keepNext w:val="0"/>
        <w:keepLines w:val="0"/>
        <w:shd w:val="clear" w:color="auto" w:fill="auto"/>
        <w:bidi w:val="0"/>
        <w:jc w:val="both"/>
        <w:spacing w:before="0" w:after="0" w:line="322" w:lineRule="exact"/>
        <w:ind w:left="40" w:right="0" w:firstLine="0"/>
      </w:pPr>
      <w:r>
        <w:rPr>
          <w:lang w:val="ru-RU" w:eastAsia="ru-RU" w:bidi="ru-RU"/>
          <w:w w:val="100"/>
          <w:spacing w:val="0"/>
          <w:color w:val="000000"/>
          <w:position w:val="0"/>
        </w:rPr>
        <w:t>При участии посредством видеоконферецсвязи:</w:t>
      </w:r>
    </w:p>
    <w:p>
      <w:pPr>
        <w:pStyle w:val="Style18"/>
        <w:numPr>
          <w:ilvl w:val="0"/>
          <w:numId w:val="1"/>
        </w:numPr>
        <w:tabs>
          <w:tab w:leader="none" w:pos="3102" w:val="right"/>
          <w:tab w:leader="none" w:pos="3307" w:val="left"/>
        </w:tabs>
        <w:widowControl w:val="0"/>
        <w:keepNext w:val="0"/>
        <w:keepLines w:val="0"/>
        <w:shd w:val="clear" w:color="auto" w:fill="auto"/>
        <w:bidi w:val="0"/>
        <w:jc w:val="both"/>
        <w:spacing w:before="0" w:after="0" w:line="322" w:lineRule="exact"/>
        <w:ind w:left="40" w:right="0" w:firstLine="0"/>
      </w:pPr>
      <w:r>
        <w:rPr>
          <w:lang w:val="ru-RU" w:eastAsia="ru-RU" w:bidi="ru-RU"/>
          <w:w w:val="100"/>
          <w:spacing w:val="0"/>
          <w:color w:val="000000"/>
          <w:position w:val="0"/>
        </w:rPr>
        <w:t xml:space="preserve"> Лутохиной А.В.</w:t>
        <w:tab/>
        <w:t>-</w:t>
        <w:tab/>
        <w:t>представителя Федерального государственного казенного</w:t>
      </w:r>
    </w:p>
    <w:p>
      <w:pPr>
        <w:pStyle w:val="Style18"/>
        <w:widowControl w:val="0"/>
        <w:keepNext w:val="0"/>
        <w:keepLines w:val="0"/>
        <w:shd w:val="clear" w:color="auto" w:fill="auto"/>
        <w:bidi w:val="0"/>
        <w:jc w:val="both"/>
        <w:spacing w:before="0" w:after="0" w:line="322" w:lineRule="exact"/>
        <w:ind w:left="3240" w:right="20" w:firstLine="0"/>
      </w:pPr>
      <w:r>
        <w:rPr>
          <w:lang w:val="ru-RU" w:eastAsia="ru-RU" w:bidi="ru-RU"/>
          <w:w w:val="100"/>
          <w:spacing w:val="0"/>
          <w:color w:val="000000"/>
          <w:position w:val="0"/>
        </w:rPr>
        <w:t>учреждения Комбината «Приволжский» Управления Федерального агентства по государственным резервам по Приволжскому Федеральному округу (доверенность № 4 от 11.01.2021),</w:t>
      </w:r>
    </w:p>
    <w:p>
      <w:pPr>
        <w:pStyle w:val="Style18"/>
        <w:widowControl w:val="0"/>
        <w:keepNext w:val="0"/>
        <w:keepLines w:val="0"/>
        <w:shd w:val="clear" w:color="auto" w:fill="auto"/>
        <w:bidi w:val="0"/>
        <w:jc w:val="both"/>
        <w:spacing w:before="0" w:after="176" w:line="322" w:lineRule="exact"/>
        <w:ind w:left="40" w:right="20" w:firstLine="0"/>
      </w:pPr>
      <w:r>
        <w:rPr>
          <w:lang w:val="ru-RU" w:eastAsia="ru-RU" w:bidi="ru-RU"/>
          <w:w w:val="100"/>
          <w:spacing w:val="0"/>
          <w:color w:val="000000"/>
          <w:position w:val="0"/>
        </w:rPr>
        <w:t>рассмотрев посредством видеоконферецсвязи жалобу Общества с ограниченной ответственностью «Магнит» (далее также - ООО «Магнит», заявитель) о нарушении Федеральным государственным казенным учреждением Комбинатом «Приволжский» Управления Федерального агентства ро государственным резервам</w:t>
      </w:r>
    </w:p>
    <w:p>
      <w:pPr>
        <w:pStyle w:val="Style26"/>
        <w:widowControl w:val="0"/>
        <w:keepNext w:val="0"/>
        <w:keepLines w:val="0"/>
        <w:shd w:val="clear" w:color="auto" w:fill="auto"/>
        <w:bidi w:val="0"/>
        <w:jc w:val="left"/>
        <w:spacing w:before="0" w:after="0" w:line="240" w:lineRule="auto"/>
        <w:ind w:left="0" w:right="0" w:firstLine="0"/>
      </w:pPr>
      <w:r>
        <w:rPr>
          <w:w w:val="100"/>
          <w:spacing w:val="0"/>
          <w:color w:val="000000"/>
          <w:position w:val="0"/>
        </w:rPr>
        <w:t>000980569129</w:t>
      </w:r>
      <w:r>
        <w:br w:type="page"/>
      </w:r>
    </w:p>
    <w:p>
      <w:pPr>
        <w:pStyle w:val="Style18"/>
        <w:widowControl w:val="0"/>
        <w:keepNext w:val="0"/>
        <w:keepLines w:val="0"/>
        <w:shd w:val="clear" w:color="auto" w:fill="auto"/>
        <w:bidi w:val="0"/>
        <w:jc w:val="both"/>
        <w:spacing w:before="0" w:after="0" w:line="322" w:lineRule="exact"/>
        <w:ind w:left="20" w:right="20" w:firstLine="0"/>
      </w:pPr>
      <w:r>
        <w:rPr>
          <w:lang w:val="ru-RU" w:eastAsia="ru-RU" w:bidi="ru-RU"/>
          <w:w w:val="100"/>
          <w:spacing w:val="0"/>
          <w:color w:val="000000"/>
          <w:position w:val="0"/>
        </w:rPr>
        <w:t>по Приволжскому Федеральному округу (далее также — заказчик) требований законодательства Российской Федерации о контрактной системе в сфере закупок при осуществлении закупки путем проведения электронного аукциона для обеспечения нужд заказчика,</w:t>
      </w:r>
    </w:p>
    <w:p>
      <w:pPr>
        <w:pStyle w:val="Style28"/>
        <w:widowControl w:val="0"/>
        <w:keepNext/>
        <w:keepLines/>
        <w:shd w:val="clear" w:color="auto" w:fill="auto"/>
        <w:bidi w:val="0"/>
        <w:spacing w:before="0" w:after="240"/>
        <w:ind w:left="0" w:right="0" w:firstLine="0"/>
      </w:pPr>
      <w:bookmarkStart w:id="0" w:name="bookmark0"/>
      <w:r>
        <w:rPr>
          <w:lang w:val="ru-RU" w:eastAsia="ru-RU" w:bidi="ru-RU"/>
          <w:w w:val="100"/>
          <w:spacing w:val="0"/>
          <w:color w:val="000000"/>
          <w:position w:val="0"/>
        </w:rPr>
        <w:t>установила:</w:t>
      </w:r>
      <w:bookmarkEnd w:id="0"/>
    </w:p>
    <w:p>
      <w:pPr>
        <w:pStyle w:val="Style18"/>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В Управление Федеральной антимонопольной службы по Нижегородской области поступила жалоба заявителя о нарушении заказчиком требований законодательства Российской Федерации о контрактной системе при осуществлении закупки путем проведения электронного аукциона по объекту закупки: «Поставка светодиодных светильников», номер извещения 0332100013021000098 (далее также - электронный аукцион).</w:t>
      </w:r>
    </w:p>
    <w:p>
      <w:pPr>
        <w:pStyle w:val="Style18"/>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По мнению заявителя, действия заказчика при проведении названного электронного аукциона нарушают требования Федерального закона от 05.04.2013 № 44-ФЗ «О контрактной системе в сфере закупок товаров, работ, услуг для обеспечения государственных и муниципальных нужд» (далее также - Закон о контрактной системе).</w:t>
      </w:r>
    </w:p>
    <w:p>
      <w:pPr>
        <w:pStyle w:val="Style18"/>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Представитель заявителя на заседании Комиссии Нижегородского УФАС России отсутствовал, доказательства надлежащего уведомления в материалах дела имеются.</w:t>
      </w:r>
    </w:p>
    <w:p>
      <w:pPr>
        <w:pStyle w:val="Style18"/>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Представитель заказчика с доводами, изложенными в жалобе заявителя, не согласилась, факт нарушений положений Закона о контрактной системе не признала, считает жалобу заявителя необоснованной, а требования, изложенные в ней - не подлежащими удовлетворению.</w:t>
      </w:r>
    </w:p>
    <w:p>
      <w:pPr>
        <w:pStyle w:val="Style18"/>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Комиссия Нижегородского УФАС России, выслушав доводы лица, участвовавшего в рассмотрении жалобы, исследовав их в совокупности с имеющимися в деле материалами и осуществив внеплановую проверку рассматриваемой закупки в соответствии с требованиями части 15 статьи 99 Федерального закона от 05.04.2013 №44-ФЗ «О контрактной системе в сфере закупок товаров, работ, услуг для обеспечения государственных и муниципальных нужд»,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 727/14 (далее также - Административный регламент), пришла к следующим выводам.</w:t>
      </w:r>
    </w:p>
    <w:p>
      <w:pPr>
        <w:pStyle w:val="Style18"/>
        <w:numPr>
          <w:ilvl w:val="0"/>
          <w:numId w:val="3"/>
        </w:numPr>
        <w:tabs>
          <w:tab w:leader="none" w:pos="1527" w:val="left"/>
          <w:tab w:leader="none" w:pos="947" w:val="left"/>
        </w:tabs>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30.09.2021 в единой информационной системе и на электронной площадке АО «Сбербанк-АСТ» размещены извещение и аукционная документация по объекту закупки:</w:t>
        <w:tab/>
        <w:t>«Поставка светодиодных светильников», номер извещения</w:t>
      </w:r>
    </w:p>
    <w:p>
      <w:pPr>
        <w:pStyle w:val="Style18"/>
        <w:widowControl w:val="0"/>
        <w:keepNext w:val="0"/>
        <w:keepLines w:val="0"/>
        <w:shd w:val="clear" w:color="auto" w:fill="auto"/>
        <w:bidi w:val="0"/>
        <w:jc w:val="both"/>
        <w:spacing w:before="0" w:after="0" w:line="322" w:lineRule="exact"/>
        <w:ind w:left="20" w:right="0" w:firstLine="0"/>
      </w:pPr>
      <w:r>
        <w:rPr>
          <w:lang w:val="ru-RU" w:eastAsia="ru-RU" w:bidi="ru-RU"/>
          <w:w w:val="100"/>
          <w:spacing w:val="0"/>
          <w:color w:val="000000"/>
          <w:position w:val="0"/>
        </w:rPr>
        <w:t>0332100013021000098.</w:t>
      </w:r>
    </w:p>
    <w:p>
      <w:pPr>
        <w:pStyle w:val="Style18"/>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Заказчик - Федеральное государственное казенное учреждение Комбинат «Приволжский» Управления Федерального агентства ро государственным резервам по Приволжскому Федеральному округу.</w:t>
      </w:r>
    </w:p>
    <w:p>
      <w:pPr>
        <w:pStyle w:val="Style18"/>
        <w:widowControl w:val="0"/>
        <w:keepNext w:val="0"/>
        <w:keepLines w:val="0"/>
        <w:shd w:val="clear" w:color="auto" w:fill="auto"/>
        <w:bidi w:val="0"/>
        <w:jc w:val="both"/>
        <w:spacing w:before="0" w:after="0" w:line="322" w:lineRule="exact"/>
        <w:ind w:left="20" w:right="0" w:firstLine="560"/>
      </w:pPr>
      <w:r>
        <w:rPr>
          <w:lang w:val="ru-RU" w:eastAsia="ru-RU" w:bidi="ru-RU"/>
          <w:w w:val="100"/>
          <w:spacing w:val="0"/>
          <w:color w:val="000000"/>
          <w:position w:val="0"/>
        </w:rPr>
        <w:t>Оператор электронной площадки - АО «Сбербанк-АСТ».</w:t>
      </w:r>
    </w:p>
    <w:p>
      <w:pPr>
        <w:pStyle w:val="Style18"/>
        <w:widowControl w:val="0"/>
        <w:keepNext w:val="0"/>
        <w:keepLines w:val="0"/>
        <w:shd w:val="clear" w:color="auto" w:fill="auto"/>
        <w:bidi w:val="0"/>
        <w:jc w:val="both"/>
        <w:spacing w:before="0" w:after="0" w:line="322" w:lineRule="exact"/>
        <w:ind w:left="20" w:right="0" w:firstLine="560"/>
      </w:pPr>
      <w:r>
        <w:rPr>
          <w:lang w:val="ru-RU" w:eastAsia="ru-RU" w:bidi="ru-RU"/>
          <w:w w:val="100"/>
          <w:spacing w:val="0"/>
          <w:color w:val="000000"/>
          <w:position w:val="0"/>
        </w:rPr>
        <w:t>Начальная (максимальная) цена контракта — 76 599,90 рублей.</w:t>
      </w:r>
    </w:p>
    <w:p>
      <w:pPr>
        <w:pStyle w:val="Style18"/>
        <w:numPr>
          <w:ilvl w:val="0"/>
          <w:numId w:val="3"/>
        </w:numPr>
        <w:tabs>
          <w:tab w:leader="none" w:pos="938" w:val="left"/>
        </w:tabs>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По мнению заявителя действия аукционной комиссии при отклонении заявки ООО «Магнит» от участия в названном электронном аукционе нарушают требования Закона о контрактной системе.</w:t>
      </w:r>
    </w:p>
    <w:p>
      <w:pPr>
        <w:pStyle w:val="Style18"/>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Согласно части 2 статьи 66 Закона о контрактной системе, заявка на участие в электронном аукционе состоит из двух частей.</w:t>
      </w:r>
    </w:p>
    <w:p>
      <w:pPr>
        <w:pStyle w:val="Style18"/>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Согласно части 5 статьи 66 Закона о контрактной системе, вторая часть заявки на участие в электронном аукционе должна содержать, помимо прочего, следующие документы и информацию:</w:t>
      </w:r>
    </w:p>
    <w:p>
      <w:pPr>
        <w:pStyle w:val="Style18"/>
        <w:numPr>
          <w:ilvl w:val="0"/>
          <w:numId w:val="1"/>
        </w:numPr>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 xml:space="preserve"> наименование, фирменное наименование (при наличии), место нахождения (для юридического лица), почтовый адрес участника такого аукциона, фамилия, имя, отчество (при наличии), паспортные данные, место жительства (для физического лица), номер контактного телефона, идентификационный номер налогоплательщика участника такого аукциона или в соответствии с законодательством соответствующего иностранного государства аналог идентификационного номера налогоплательщика участника такого аукциона (для иностранного лица), идентификационный номер налогоплательщика (при наличии) членов коллегиального исполнительного органа, лица, исполняющего функции единоличного исполнительного органа участника такого аукциона;</w:t>
      </w:r>
    </w:p>
    <w:p>
      <w:pPr>
        <w:pStyle w:val="Style18"/>
        <w:numPr>
          <w:ilvl w:val="0"/>
          <w:numId w:val="1"/>
        </w:numPr>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 xml:space="preserve"> документы, подтверждающие соответствие участника такого аукциона требованиям, установленным пунктом 1 части 1 статьи 31 настоящего Федерального закона, или копии этих документов, а также декларация о соответствии участника такого аукциона требованиям, установленным пунктами 3 - 9 части 1 статьи 31 настоящего Федерального закона (указанная декларация предоставляется с использованием программно-аппаратных средств электронной площадки);</w:t>
      </w:r>
    </w:p>
    <w:p>
      <w:pPr>
        <w:pStyle w:val="Style18"/>
        <w:numPr>
          <w:ilvl w:val="0"/>
          <w:numId w:val="1"/>
        </w:numPr>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 xml:space="preserve"> копии документов, подтверждающих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документацией об электронном аукционе. При этом не допускается требовать представление указанных документов, если в соответствии с законодательством Российской Федерации они передаются вместе с товаром;</w:t>
      </w:r>
    </w:p>
    <w:p>
      <w:pPr>
        <w:pStyle w:val="Style18"/>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Согласно части 1 статьи 69 Закона о контрактной системе, аукционная комиссия рассматривает вторые части заявок на участие в электронном аукционе, информацию и электронные документы, направленные заказчику оператором электронной площадки в соответствии с частью 19 статьи 68 настоящего Федерального закона, в части соответствия их требованиям, установленным документацией о таком аукционе.</w:t>
      </w:r>
    </w:p>
    <w:p>
      <w:pPr>
        <w:pStyle w:val="Style18"/>
        <w:widowControl w:val="0"/>
        <w:keepNext w:val="0"/>
        <w:keepLines w:val="0"/>
        <w:shd w:val="clear" w:color="auto" w:fill="auto"/>
        <w:bidi w:val="0"/>
        <w:jc w:val="both"/>
        <w:spacing w:before="0" w:after="0" w:line="322" w:lineRule="exact"/>
        <w:ind w:left="40" w:right="20" w:firstLine="700"/>
      </w:pPr>
      <w:r>
        <w:rPr>
          <w:lang w:val="ru-RU" w:eastAsia="ru-RU" w:bidi="ru-RU"/>
          <w:w w:val="100"/>
          <w:spacing w:val="0"/>
          <w:color w:val="000000"/>
          <w:position w:val="0"/>
        </w:rPr>
        <w:t>Согласно части 2 статьи 69 Закона о контрактной системе, аукционной комиссией на основании результатов рассмотрения вторых частей заявок на участие в электронном аукционе принимается решение о соответствии или о несоответствии заявки на участие в таком аукционе требованиям, установленным документацией о таком аукционе, в порядке и по основаниям, которые предусмотрены настоящей статьей.</w:t>
      </w:r>
    </w:p>
    <w:p>
      <w:pPr>
        <w:pStyle w:val="Style18"/>
        <w:widowControl w:val="0"/>
        <w:keepNext w:val="0"/>
        <w:keepLines w:val="0"/>
        <w:shd w:val="clear" w:color="auto" w:fill="auto"/>
        <w:bidi w:val="0"/>
        <w:jc w:val="left"/>
        <w:spacing w:before="0" w:after="0" w:line="322" w:lineRule="exact"/>
        <w:ind w:left="40" w:right="180" w:firstLine="700"/>
      </w:pPr>
      <w:r>
        <w:rPr>
          <w:lang w:val="ru-RU" w:eastAsia="ru-RU" w:bidi="ru-RU"/>
          <w:w w:val="100"/>
          <w:spacing w:val="0"/>
          <w:color w:val="000000"/>
          <w:position w:val="0"/>
        </w:rPr>
        <w:t>Согласно части 6 статьи 69 Закона о контрактной системе, заявка на участие в электронном аукционе признается не соответствующей требованиям, установленным документацией о таком аукционе, в случае:</w:t>
      </w:r>
    </w:p>
    <w:p>
      <w:pPr>
        <w:pStyle w:val="Style18"/>
        <w:numPr>
          <w:ilvl w:val="0"/>
          <w:numId w:val="1"/>
        </w:numPr>
        <w:widowControl w:val="0"/>
        <w:keepNext w:val="0"/>
        <w:keepLines w:val="0"/>
        <w:shd w:val="clear" w:color="auto" w:fill="auto"/>
        <w:bidi w:val="0"/>
        <w:jc w:val="both"/>
        <w:spacing w:before="0" w:after="0" w:line="322" w:lineRule="exact"/>
        <w:ind w:left="40" w:right="20" w:firstLine="700"/>
      </w:pPr>
      <w:r>
        <w:rPr>
          <w:lang w:val="ru-RU" w:eastAsia="ru-RU" w:bidi="ru-RU"/>
          <w:w w:val="100"/>
          <w:spacing w:val="0"/>
          <w:color w:val="000000"/>
          <w:position w:val="0"/>
        </w:rPr>
        <w:t xml:space="preserve"> непредставления документов и информации, которые предусмотрены частью 11 статьи 24.1, частями 3 или 3.1, 5, 8.2 статьи 66 настоящего Федерального закона,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p>
    <w:p>
      <w:pPr>
        <w:pStyle w:val="Style18"/>
        <w:numPr>
          <w:ilvl w:val="0"/>
          <w:numId w:val="1"/>
        </w:numPr>
        <w:widowControl w:val="0"/>
        <w:keepNext w:val="0"/>
        <w:keepLines w:val="0"/>
        <w:shd w:val="clear" w:color="auto" w:fill="auto"/>
        <w:bidi w:val="0"/>
        <w:jc w:val="both"/>
        <w:spacing w:before="0" w:after="0" w:line="322" w:lineRule="exact"/>
        <w:ind w:left="40" w:right="20" w:firstLine="700"/>
      </w:pPr>
      <w:r>
        <w:rPr>
          <w:lang w:val="ru-RU" w:eastAsia="ru-RU" w:bidi="ru-RU"/>
          <w:w w:val="100"/>
          <w:spacing w:val="0"/>
          <w:color w:val="000000"/>
          <w:position w:val="0"/>
        </w:rPr>
        <w:t xml:space="preserve"> несоответствия участника такого аукциона требованиям, установленным в соответствии с частью 1, частями 1.1, 2 и 2.1 (при наличии таких требований) статьи 31 настоящего Федерального закона;</w:t>
      </w:r>
    </w:p>
    <w:p>
      <w:pPr>
        <w:pStyle w:val="Style18"/>
        <w:numPr>
          <w:ilvl w:val="0"/>
          <w:numId w:val="1"/>
        </w:numPr>
        <w:widowControl w:val="0"/>
        <w:keepNext w:val="0"/>
        <w:keepLines w:val="0"/>
        <w:shd w:val="clear" w:color="auto" w:fill="auto"/>
        <w:bidi w:val="0"/>
        <w:jc w:val="both"/>
        <w:spacing w:before="0" w:after="0" w:line="322" w:lineRule="exact"/>
        <w:ind w:left="40" w:right="20" w:firstLine="700"/>
      </w:pPr>
      <w:r>
        <w:rPr>
          <w:lang w:val="ru-RU" w:eastAsia="ru-RU" w:bidi="ru-RU"/>
          <w:w w:val="100"/>
          <w:spacing w:val="0"/>
          <w:color w:val="000000"/>
          <w:position w:val="0"/>
        </w:rPr>
        <w:t xml:space="preserve"> предусмотренном нормативными правовыми актами, принятыми в соответствии со статьей 14 настоящего Федерального закона.</w:t>
      </w:r>
    </w:p>
    <w:p>
      <w:pPr>
        <w:pStyle w:val="Style18"/>
        <w:widowControl w:val="0"/>
        <w:keepNext w:val="0"/>
        <w:keepLines w:val="0"/>
        <w:shd w:val="clear" w:color="auto" w:fill="auto"/>
        <w:bidi w:val="0"/>
        <w:jc w:val="both"/>
        <w:spacing w:before="0" w:after="0" w:line="322" w:lineRule="exact"/>
        <w:ind w:left="40" w:right="20" w:firstLine="700"/>
      </w:pPr>
      <w:r>
        <w:rPr>
          <w:lang w:val="ru-RU" w:eastAsia="ru-RU" w:bidi="ru-RU"/>
          <w:w w:val="100"/>
          <w:spacing w:val="0"/>
          <w:color w:val="000000"/>
          <w:position w:val="0"/>
        </w:rPr>
        <w:t>Комиссией Нижегородского УФАС России установлено, что 14.10.2021 состоялось подведение итогов названного электронного аукциона, о чем составлен Протокол подведения итогов электронного аукциона от 14.10.2021 №0332100013021000098-3 (далее также - Протокол).</w:t>
      </w:r>
    </w:p>
    <w:p>
      <w:pPr>
        <w:pStyle w:val="Style18"/>
        <w:widowControl w:val="0"/>
        <w:keepNext w:val="0"/>
        <w:keepLines w:val="0"/>
        <w:shd w:val="clear" w:color="auto" w:fill="auto"/>
        <w:bidi w:val="0"/>
        <w:jc w:val="both"/>
        <w:spacing w:before="0" w:after="0" w:line="322" w:lineRule="exact"/>
        <w:ind w:left="40" w:right="20" w:firstLine="700"/>
      </w:pPr>
      <w:r>
        <w:rPr>
          <w:lang w:val="ru-RU" w:eastAsia="ru-RU" w:bidi="ru-RU"/>
          <w:w w:val="100"/>
          <w:spacing w:val="0"/>
          <w:color w:val="000000"/>
          <w:position w:val="0"/>
        </w:rPr>
        <w:t>Согласно названному Протоколу заявка № 209 (заявка ООО «Магнит») на основании решения аукционной комиссии заказчика не соответствовала требованиям аукционной документации и Закона о контрактной системе по следующему основанию:</w:t>
      </w:r>
    </w:p>
    <w:p>
      <w:pPr>
        <w:pStyle w:val="Style30"/>
        <w:widowControl w:val="0"/>
        <w:keepNext w:val="0"/>
        <w:keepLines w:val="0"/>
        <w:shd w:val="clear" w:color="auto" w:fill="auto"/>
        <w:bidi w:val="0"/>
        <w:spacing w:before="0" w:after="0"/>
        <w:ind w:left="40" w:right="20" w:firstLine="700"/>
      </w:pPr>
      <w:r>
        <w:rPr>
          <w:lang w:val="ru-RU" w:eastAsia="ru-RU" w:bidi="ru-RU"/>
          <w:w w:val="100"/>
          <w:spacing w:val="0"/>
          <w:color w:val="000000"/>
          <w:position w:val="0"/>
        </w:rPr>
        <w:t>«На основании п.2 ч.6 ст.69 Закона 44-ФЗ (Указан не верный номер реестровой записи по ПП №878)».</w:t>
      </w:r>
    </w:p>
    <w:p>
      <w:pPr>
        <w:pStyle w:val="Style18"/>
        <w:widowControl w:val="0"/>
        <w:keepNext w:val="0"/>
        <w:keepLines w:val="0"/>
        <w:shd w:val="clear" w:color="auto" w:fill="auto"/>
        <w:bidi w:val="0"/>
        <w:jc w:val="both"/>
        <w:spacing w:before="0" w:after="0" w:line="322" w:lineRule="exact"/>
        <w:ind w:left="40" w:right="20" w:firstLine="700"/>
      </w:pPr>
      <w:r>
        <w:rPr>
          <w:lang w:val="ru-RU" w:eastAsia="ru-RU" w:bidi="ru-RU"/>
          <w:w w:val="100"/>
          <w:spacing w:val="0"/>
          <w:color w:val="000000"/>
          <w:position w:val="0"/>
        </w:rPr>
        <w:t>Комиссией Нижегородского УФАС России установлено, что требования к составу вторых частей заявок участников названного электронного аукциона размещены заказчиком в пункте 3.2.5. раздела 3 аукционной документации.</w:t>
      </w:r>
    </w:p>
    <w:p>
      <w:pPr>
        <w:pStyle w:val="Style18"/>
        <w:widowControl w:val="0"/>
        <w:keepNext w:val="0"/>
        <w:keepLines w:val="0"/>
        <w:shd w:val="clear" w:color="auto" w:fill="auto"/>
        <w:bidi w:val="0"/>
        <w:jc w:val="both"/>
        <w:spacing w:before="0" w:after="0" w:line="322" w:lineRule="exact"/>
        <w:ind w:left="40" w:right="20" w:firstLine="700"/>
      </w:pPr>
      <w:r>
        <w:rPr>
          <w:lang w:val="ru-RU" w:eastAsia="ru-RU" w:bidi="ru-RU"/>
          <w:w w:val="100"/>
          <w:spacing w:val="0"/>
          <w:color w:val="000000"/>
          <w:position w:val="0"/>
        </w:rPr>
        <w:t>Согласно пункту 3.2.5. раздела 3 аукционной документации, вторая часть заявки на участие в электронном аукционе должна содержать следующие документы и информацию:</w:t>
      </w:r>
    </w:p>
    <w:p>
      <w:pPr>
        <w:pStyle w:val="Style30"/>
        <w:widowControl w:val="0"/>
        <w:keepNext w:val="0"/>
        <w:keepLines w:val="0"/>
        <w:shd w:val="clear" w:color="auto" w:fill="auto"/>
        <w:bidi w:val="0"/>
        <w:spacing w:before="0" w:after="0"/>
        <w:ind w:left="40" w:right="20" w:firstLine="700"/>
      </w:pPr>
      <w:r>
        <w:rPr>
          <w:lang w:val="ru-RU" w:eastAsia="ru-RU" w:bidi="ru-RU"/>
          <w:w w:val="100"/>
          <w:spacing w:val="0"/>
          <w:color w:val="000000"/>
          <w:position w:val="0"/>
        </w:rPr>
        <w:t>«- наименование, фирменное наименование (при наличии), место нахождения (для юридического лица), почтовый адрес участника такого аукциона, фамилия, имя, отчество (при наличии), паспортные данные, место жительства (для физического лица), номер контактного телефона, идентификационный номер налогоплательщика участника такого аукциона или в соответствии с законодательством соответствующего иностранного государства аналог идентификационного номера налогоплательщика участника такого аукциона (для иностранного лица), идентификационный номер налогоплательщика (при наличии) членов коллегиального исполнительного органа, лица, исполняющего функции единоличного исполнительного органа участника такого аукциона;</w:t>
      </w:r>
    </w:p>
    <w:p>
      <w:pPr>
        <w:pStyle w:val="Style30"/>
        <w:numPr>
          <w:ilvl w:val="0"/>
          <w:numId w:val="1"/>
        </w:numPr>
        <w:widowControl w:val="0"/>
        <w:keepNext w:val="0"/>
        <w:keepLines w:val="0"/>
        <w:shd w:val="clear" w:color="auto" w:fill="auto"/>
        <w:bidi w:val="0"/>
        <w:spacing w:before="0" w:after="0"/>
        <w:ind w:left="40" w:right="40" w:firstLine="720"/>
      </w:pPr>
      <w:r>
        <w:rPr>
          <w:lang w:val="ru-RU" w:eastAsia="ru-RU" w:bidi="ru-RU"/>
          <w:w w:val="100"/>
          <w:spacing w:val="0"/>
          <w:color w:val="000000"/>
          <w:position w:val="0"/>
        </w:rPr>
        <w:t xml:space="preserve"> документы, подтверждающие соответствие участника такого аукциона требованиям, установленным п. 1 ч. 1, ч. 2 и 2.1 ст. 31 (при наличии таких требований) Закона №44-ФЗ, или копии этих документов, а также декларация о соответствии участника такого аукциона требованиям, установленным п. 3 - 9 ч. 1 ст. 31 Закона №44-ФЗ (указанная декларация предоставляется с использованием программно-аппаратных средств электронной площадки);</w:t>
      </w:r>
    </w:p>
    <w:p>
      <w:pPr>
        <w:pStyle w:val="Style30"/>
        <w:numPr>
          <w:ilvl w:val="0"/>
          <w:numId w:val="1"/>
        </w:numPr>
        <w:widowControl w:val="0"/>
        <w:keepNext w:val="0"/>
        <w:keepLines w:val="0"/>
        <w:shd w:val="clear" w:color="auto" w:fill="auto"/>
        <w:bidi w:val="0"/>
        <w:spacing w:before="0" w:after="0"/>
        <w:ind w:left="40" w:right="40" w:firstLine="720"/>
      </w:pPr>
      <w:r>
        <w:rPr>
          <w:lang w:val="ru-RU" w:eastAsia="ru-RU" w:bidi="ru-RU"/>
          <w:w w:val="100"/>
          <w:spacing w:val="0"/>
          <w:color w:val="000000"/>
          <w:position w:val="0"/>
        </w:rPr>
        <w:t xml:space="preserve"> копии документов, подтверждающих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документацией об электронном аукционе. При этом не допускается требовать представление указанных документов, если в соответствии с законодательством Российской Федерации они передаются вместе с товаром;</w:t>
      </w:r>
    </w:p>
    <w:p>
      <w:pPr>
        <w:pStyle w:val="Style30"/>
        <w:numPr>
          <w:ilvl w:val="0"/>
          <w:numId w:val="1"/>
        </w:numPr>
        <w:widowControl w:val="0"/>
        <w:keepNext w:val="0"/>
        <w:keepLines w:val="0"/>
        <w:shd w:val="clear" w:color="auto" w:fill="auto"/>
        <w:bidi w:val="0"/>
        <w:spacing w:before="0" w:after="0"/>
        <w:ind w:left="40" w:right="40" w:firstLine="720"/>
      </w:pPr>
      <w:r>
        <w:rPr>
          <w:lang w:val="ru-RU" w:eastAsia="ru-RU" w:bidi="ru-RU"/>
          <w:w w:val="100"/>
          <w:spacing w:val="0"/>
          <w:color w:val="000000"/>
          <w:position w:val="0"/>
        </w:rPr>
        <w:t xml:space="preserve"> решение об одобрении или о совершении крупной сделки либо копия данного решения в случае, если требование о необходимости наличия данного решения для совершения крупной сделки установлено федеральными законами и иными нормативными правовыми актами Российской Федерации и (или) учредительными документами юридического лица и для участника такого аукциона заключаемый контракт или предоставление обеспечения заявки на участие в таком аукционе, обеспечения исполнения контракта является крупной сделкой;</w:t>
      </w:r>
    </w:p>
    <w:p>
      <w:pPr>
        <w:pStyle w:val="Style30"/>
        <w:numPr>
          <w:ilvl w:val="0"/>
          <w:numId w:val="1"/>
        </w:numPr>
        <w:widowControl w:val="0"/>
        <w:keepNext w:val="0"/>
        <w:keepLines w:val="0"/>
        <w:shd w:val="clear" w:color="auto" w:fill="auto"/>
        <w:bidi w:val="0"/>
        <w:spacing w:before="0" w:after="0"/>
        <w:ind w:left="40" w:right="40" w:firstLine="720"/>
      </w:pPr>
      <w:r>
        <w:rPr>
          <w:lang w:val="ru-RU" w:eastAsia="ru-RU" w:bidi="ru-RU"/>
          <w:w w:val="100"/>
          <w:spacing w:val="0"/>
          <w:color w:val="000000"/>
          <w:position w:val="0"/>
        </w:rPr>
        <w:t xml:space="preserve"> документы, подтверждающие право участника электронного аукциона на получение преимуществ в соответствии со ст. 28 и 29 Закона №44-ФЗ (в случае, если участник электронного аукциона заявил о получении указанных преимуществ), или копии таких документов;</w:t>
      </w:r>
    </w:p>
    <w:p>
      <w:pPr>
        <w:pStyle w:val="Style30"/>
        <w:numPr>
          <w:ilvl w:val="0"/>
          <w:numId w:val="1"/>
        </w:numPr>
        <w:widowControl w:val="0"/>
        <w:keepNext w:val="0"/>
        <w:keepLines w:val="0"/>
        <w:shd w:val="clear" w:color="auto" w:fill="auto"/>
        <w:bidi w:val="0"/>
        <w:spacing w:before="0" w:after="0"/>
        <w:ind w:left="40" w:right="40" w:firstLine="720"/>
      </w:pPr>
      <w:r>
        <w:rPr>
          <w:lang w:val="ru-RU" w:eastAsia="ru-RU" w:bidi="ru-RU"/>
          <w:w w:val="100"/>
          <w:spacing w:val="0"/>
          <w:color w:val="000000"/>
          <w:position w:val="0"/>
        </w:rPr>
        <w:t xml:space="preserve"> документы, предусмотренные нормативными правовыми актами, принятыми в соответствии со ст. 14 Закона №44-ФЗ в случае закупки товаров, работ, услуг, на которые распространяется действие указанных нормативных правовых актов, или копии таких документов. При отсутствии в заявке на участие в электронном аукционе документов, предусмотренных настоящим пунктом, или копий таких документов эта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pPr>
        <w:pStyle w:val="Style30"/>
        <w:numPr>
          <w:ilvl w:val="0"/>
          <w:numId w:val="1"/>
        </w:numPr>
        <w:widowControl w:val="0"/>
        <w:keepNext w:val="0"/>
        <w:keepLines w:val="0"/>
        <w:shd w:val="clear" w:color="auto" w:fill="auto"/>
        <w:bidi w:val="0"/>
        <w:spacing w:before="0" w:after="0"/>
        <w:ind w:left="40" w:right="40" w:firstLine="720"/>
      </w:pPr>
      <w:r>
        <w:rPr>
          <w:lang w:val="ru-RU" w:eastAsia="ru-RU" w:bidi="ru-RU"/>
          <w:w w:val="100"/>
          <w:spacing w:val="0"/>
          <w:color w:val="000000"/>
          <w:position w:val="0"/>
        </w:rPr>
        <w:t xml:space="preserve"> декларация о принадлежности участника такого аукциона к субъектам малого предпринимательства или социально ориентированным некоммерческим организациям в случае установления заказчиком ограничения, предусмотренного ч. 3 ст. 30 Закона №44-ФЗ (указанная декларация предоставляется с использованием программно-аппаратных средств электронной площадки)».</w:t>
      </w:r>
    </w:p>
    <w:p>
      <w:pPr>
        <w:pStyle w:val="Style18"/>
        <w:widowControl w:val="0"/>
        <w:keepNext w:val="0"/>
        <w:keepLines w:val="0"/>
        <w:shd w:val="clear" w:color="auto" w:fill="auto"/>
        <w:bidi w:val="0"/>
        <w:jc w:val="both"/>
        <w:spacing w:before="0" w:after="0" w:line="322" w:lineRule="exact"/>
        <w:ind w:left="40" w:right="40" w:firstLine="720"/>
      </w:pPr>
      <w:r>
        <w:rPr>
          <w:lang w:val="ru-RU" w:eastAsia="ru-RU" w:bidi="ru-RU"/>
          <w:w w:val="100"/>
          <w:spacing w:val="0"/>
          <w:color w:val="000000"/>
          <w:position w:val="0"/>
        </w:rPr>
        <w:t>Вместе с тем Комиссией Нижегородского УФАС России установлено, что согласно пункту 37 раздела II аукционной документации заказчиком установлены условия, запреты, ограничение допуска товаров происходящих из иностранного государства, работ, услуг выполняемых, оказываемых иностранными лицами.</w:t>
      </w:r>
    </w:p>
    <w:p>
      <w:pPr>
        <w:pStyle w:val="Style18"/>
        <w:widowControl w:val="0"/>
        <w:keepNext w:val="0"/>
        <w:keepLines w:val="0"/>
        <w:shd w:val="clear" w:color="auto" w:fill="auto"/>
        <w:bidi w:val="0"/>
        <w:jc w:val="both"/>
        <w:spacing w:before="0" w:after="0" w:line="322" w:lineRule="exact"/>
        <w:ind w:left="0" w:right="20" w:firstLine="700"/>
      </w:pPr>
      <w:r>
        <w:rPr>
          <w:lang w:val="ru-RU" w:eastAsia="ru-RU" w:bidi="ru-RU"/>
          <w:w w:val="100"/>
          <w:spacing w:val="0"/>
          <w:color w:val="000000"/>
          <w:position w:val="0"/>
        </w:rPr>
        <w:t>Подпунктом 4 пункта 37 раздела II аукционной документации установлено применение ограничений допуска отдельных видов радиоэлектронной проду</w:t>
      </w:r>
      <w:r>
        <w:rPr>
          <w:rStyle w:val="CharStyle32"/>
        </w:rPr>
        <w:t>кци</w:t>
      </w:r>
      <w:r>
        <w:rPr>
          <w:lang w:val="ru-RU" w:eastAsia="ru-RU" w:bidi="ru-RU"/>
          <w:w w:val="100"/>
          <w:spacing w:val="0"/>
          <w:color w:val="000000"/>
          <w:position w:val="0"/>
        </w:rPr>
        <w:t>и, происходящих из иностранных государств в соответствии с постановлением Правительства Российской Федерации от 10 июля 2019 № 878.</w:t>
      </w:r>
    </w:p>
    <w:p>
      <w:pPr>
        <w:pStyle w:val="Style18"/>
        <w:widowControl w:val="0"/>
        <w:keepNext w:val="0"/>
        <w:keepLines w:val="0"/>
        <w:shd w:val="clear" w:color="auto" w:fill="auto"/>
        <w:bidi w:val="0"/>
        <w:jc w:val="both"/>
        <w:spacing w:before="0" w:after="0" w:line="322" w:lineRule="exact"/>
        <w:ind w:left="0" w:right="20" w:firstLine="820"/>
      </w:pPr>
      <w:r>
        <w:rPr>
          <w:lang w:val="ru-RU" w:eastAsia="ru-RU" w:bidi="ru-RU"/>
          <w:w w:val="100"/>
          <w:spacing w:val="0"/>
          <w:color w:val="000000"/>
          <w:position w:val="0"/>
        </w:rPr>
        <w:t>Подпунктом 4 пункта 37 раздела II аукционной документации установлено, что Для подтверждения соответствия продукции установленному ограничению участник закупки в первой части заявки представляет декларацию о ее нахождении в Едином реестре российской радиоэлектронной продукции, в которой указывает соответствующий номер реестровой записи (пункта 3 Постановления № 878).</w:t>
      </w:r>
    </w:p>
    <w:p>
      <w:pPr>
        <w:pStyle w:val="Style18"/>
        <w:widowControl w:val="0"/>
        <w:keepNext w:val="0"/>
        <w:keepLines w:val="0"/>
        <w:shd w:val="clear" w:color="auto" w:fill="auto"/>
        <w:bidi w:val="0"/>
        <w:jc w:val="both"/>
        <w:spacing w:before="0" w:after="0" w:line="322" w:lineRule="exact"/>
        <w:ind w:left="0" w:right="20" w:firstLine="700"/>
      </w:pPr>
      <w:r>
        <w:rPr>
          <w:lang w:val="ru-RU" w:eastAsia="ru-RU" w:bidi="ru-RU"/>
          <w:w w:val="100"/>
          <w:spacing w:val="0"/>
          <w:color w:val="000000"/>
          <w:position w:val="0"/>
        </w:rPr>
        <w:t>Изучив заявку № 209 (заявка ООО «Магнит») Комиссия Нижегородского</w:t>
      </w:r>
      <w:r>
        <w:rPr>
          <w:lang w:val="ru-RU" w:eastAsia="ru-RU" w:bidi="ru-RU"/>
          <w:w w:val="100"/>
          <w:spacing w:val="0"/>
          <w:color w:val="000000"/>
          <w:position w:val="0"/>
        </w:rPr>
        <w:t xml:space="preserve"> </w:t>
      </w:r>
      <w:r>
        <w:rPr>
          <w:lang w:val="ru-RU" w:eastAsia="ru-RU" w:bidi="ru-RU"/>
          <w:w w:val="100"/>
          <w:spacing w:val="0"/>
          <w:color w:val="000000"/>
          <w:position w:val="0"/>
        </w:rPr>
        <w:t xml:space="preserve">УФАС России установила, что </w:t>
      </w:r>
      <w:r>
        <w:rPr>
          <w:lang w:val="ru-RU" w:eastAsia="ru-RU" w:bidi="ru-RU"/>
          <w:w w:val="100"/>
          <w:spacing w:val="0"/>
          <w:color w:val="000000"/>
          <w:position w:val="0"/>
        </w:rPr>
        <w:t>в ней содержалась декларация о нахождении поставляемого товара в Едином реестре российской радиоэлектронной продукции № РЭ-2737/20, относящейся к соответсвующей позиции реестра «Светильник светодиодный Федерация».</w:t>
      </w:r>
    </w:p>
    <w:p>
      <w:pPr>
        <w:pStyle w:val="Style33"/>
        <w:framePr w:w="10157" w:wrap="notBeside" w:vAnchor="text" w:hAnchor="text" w:xAlign="center" w:y="1"/>
        <w:tabs>
          <w:tab w:leader="underscore" w:pos="8640" w:val="left"/>
          <w:tab w:leader="underscore" w:pos="9326" w:val="left"/>
          <w:tab w:leader="underscore" w:pos="10171" w:val="left"/>
        </w:tabs>
        <w:widowControl w:val="0"/>
        <w:keepNext w:val="0"/>
        <w:keepLines w:val="0"/>
        <w:shd w:val="clear" w:color="auto" w:fill="auto"/>
        <w:bidi w:val="0"/>
        <w:spacing w:before="0" w:after="0"/>
        <w:ind w:left="0" w:right="0" w:firstLine="0"/>
      </w:pPr>
      <w:r>
        <w:rPr>
          <w:lang w:val="ru-RU" w:eastAsia="ru-RU" w:bidi="ru-RU"/>
          <w:w w:val="100"/>
          <w:spacing w:val="0"/>
          <w:color w:val="000000"/>
          <w:position w:val="0"/>
        </w:rPr>
        <w:t xml:space="preserve">Вместе с тем Комиссией Нижегородского УФАС России установлено, что согласно разделу </w:t>
      </w:r>
      <w:r>
        <w:rPr>
          <w:lang w:val="en-US" w:eastAsia="en-US" w:bidi="en-US"/>
          <w:w w:val="100"/>
          <w:spacing w:val="0"/>
          <w:color w:val="000000"/>
          <w:position w:val="0"/>
        </w:rPr>
        <w:t xml:space="preserve">III </w:t>
      </w:r>
      <w:r>
        <w:rPr>
          <w:lang w:val="ru-RU" w:eastAsia="ru-RU" w:bidi="ru-RU"/>
          <w:w w:val="100"/>
          <w:spacing w:val="0"/>
          <w:color w:val="000000"/>
          <w:position w:val="0"/>
        </w:rPr>
        <w:t xml:space="preserve">аукционной документации заказчиком установлены следующие </w:t>
      </w:r>
      <w:r>
        <w:rPr>
          <w:rStyle w:val="CharStyle35"/>
        </w:rPr>
        <w:t>требования к поставляемому товару:</w:t>
      </w:r>
      <w:r>
        <w:rPr>
          <w:lang w:val="ru-RU" w:eastAsia="ru-RU" w:bidi="ru-RU"/>
          <w:w w:val="100"/>
          <w:spacing w:val="0"/>
          <w:color w:val="000000"/>
          <w:position w:val="0"/>
        </w:rPr>
        <w:tab/>
        <w:tab/>
        <w:tab/>
      </w:r>
    </w:p>
    <w:tbl>
      <w:tblPr>
        <w:tblOverlap w:val="never"/>
        <w:tblLayout w:type="fixed"/>
        <w:jc w:val="center"/>
      </w:tblPr>
      <w:tblGrid>
        <w:gridCol w:w="576"/>
        <w:gridCol w:w="2035"/>
        <w:gridCol w:w="6010"/>
        <w:gridCol w:w="686"/>
        <w:gridCol w:w="850"/>
      </w:tblGrid>
      <w:tr>
        <w:trPr>
          <w:trHeight w:val="979" w:hRule="exact"/>
        </w:trPr>
        <w:tc>
          <w:tcPr>
            <w:shd w:val="clear" w:color="auto" w:fill="FFFFFF"/>
            <w:tcBorders>
              <w:left w:val="single" w:sz="4"/>
              <w:top w:val="single" w:sz="4"/>
            </w:tcBorders>
            <w:vAlign w:val="bottom"/>
          </w:tcPr>
          <w:p>
            <w:pPr>
              <w:pStyle w:val="Style18"/>
              <w:framePr w:w="10157" w:wrap="notBeside" w:vAnchor="text" w:hAnchor="text" w:xAlign="center" w:y="1"/>
              <w:widowControl w:val="0"/>
              <w:keepNext w:val="0"/>
              <w:keepLines w:val="0"/>
              <w:shd w:val="clear" w:color="auto" w:fill="auto"/>
              <w:bidi w:val="0"/>
              <w:jc w:val="left"/>
              <w:spacing w:before="0" w:after="0"/>
              <w:ind w:left="180" w:right="0" w:firstLine="0"/>
            </w:pPr>
            <w:r>
              <w:rPr>
                <w:rStyle w:val="CharStyle36"/>
              </w:rPr>
              <w:t>№</w:t>
            </w:r>
          </w:p>
          <w:p>
            <w:pPr>
              <w:pStyle w:val="Style18"/>
              <w:framePr w:w="10157" w:wrap="notBeside" w:vAnchor="text" w:hAnchor="text" w:xAlign="center" w:y="1"/>
              <w:widowControl w:val="0"/>
              <w:keepNext w:val="0"/>
              <w:keepLines w:val="0"/>
              <w:shd w:val="clear" w:color="auto" w:fill="auto"/>
              <w:bidi w:val="0"/>
              <w:jc w:val="left"/>
              <w:spacing w:before="0" w:after="0"/>
              <w:ind w:left="180" w:right="0" w:firstLine="0"/>
            </w:pPr>
            <w:r>
              <w:rPr>
                <w:rStyle w:val="CharStyle37"/>
              </w:rPr>
              <w:t>п/</w:t>
            </w:r>
          </w:p>
          <w:p>
            <w:pPr>
              <w:pStyle w:val="Style18"/>
              <w:framePr w:w="10157" w:wrap="notBeside" w:vAnchor="text" w:hAnchor="text" w:xAlign="center" w:y="1"/>
              <w:widowControl w:val="0"/>
              <w:keepNext w:val="0"/>
              <w:keepLines w:val="0"/>
              <w:shd w:val="clear" w:color="auto" w:fill="auto"/>
              <w:bidi w:val="0"/>
              <w:jc w:val="left"/>
              <w:spacing w:before="0" w:after="0"/>
              <w:ind w:left="180" w:right="0" w:firstLine="0"/>
            </w:pPr>
            <w:r>
              <w:rPr>
                <w:rStyle w:val="CharStyle37"/>
              </w:rPr>
              <w:t>п</w:t>
            </w:r>
          </w:p>
        </w:tc>
        <w:tc>
          <w:tcPr>
            <w:shd w:val="clear" w:color="auto" w:fill="FFFFFF"/>
            <w:tcBorders>
              <w:left w:val="single" w:sz="4"/>
              <w:top w:val="single" w:sz="4"/>
            </w:tcBorders>
            <w:vAlign w:val="center"/>
          </w:tcPr>
          <w:p>
            <w:pPr>
              <w:pStyle w:val="Style18"/>
              <w:framePr w:w="10157" w:wrap="notBeside" w:vAnchor="text" w:hAnchor="text" w:xAlign="center" w:y="1"/>
              <w:widowControl w:val="0"/>
              <w:keepNext w:val="0"/>
              <w:keepLines w:val="0"/>
              <w:shd w:val="clear" w:color="auto" w:fill="auto"/>
              <w:bidi w:val="0"/>
              <w:jc w:val="center"/>
              <w:spacing w:before="0" w:after="120" w:line="260" w:lineRule="exact"/>
              <w:ind w:left="0" w:right="0" w:firstLine="0"/>
            </w:pPr>
            <w:r>
              <w:rPr>
                <w:rStyle w:val="CharStyle37"/>
              </w:rPr>
              <w:t>Наименование</w:t>
            </w:r>
          </w:p>
          <w:p>
            <w:pPr>
              <w:pStyle w:val="Style18"/>
              <w:framePr w:w="10157" w:wrap="notBeside" w:vAnchor="text" w:hAnchor="text" w:xAlign="center" w:y="1"/>
              <w:widowControl w:val="0"/>
              <w:keepNext w:val="0"/>
              <w:keepLines w:val="0"/>
              <w:shd w:val="clear" w:color="auto" w:fill="auto"/>
              <w:bidi w:val="0"/>
              <w:jc w:val="center"/>
              <w:spacing w:before="120" w:after="0" w:line="260" w:lineRule="exact"/>
              <w:ind w:left="0" w:right="0" w:firstLine="0"/>
            </w:pPr>
            <w:r>
              <w:rPr>
                <w:rStyle w:val="CharStyle37"/>
              </w:rPr>
              <w:t>товара</w:t>
            </w:r>
          </w:p>
        </w:tc>
        <w:tc>
          <w:tcPr>
            <w:shd w:val="clear" w:color="auto" w:fill="FFFFFF"/>
            <w:tcBorders>
              <w:left w:val="single" w:sz="4"/>
              <w:top w:val="single" w:sz="4"/>
            </w:tcBorders>
            <w:vAlign w:val="center"/>
          </w:tcPr>
          <w:p>
            <w:pPr>
              <w:pStyle w:val="Style18"/>
              <w:framePr w:w="10157" w:wrap="notBeside" w:vAnchor="text" w:hAnchor="text" w:xAlign="center" w:y="1"/>
              <w:widowControl w:val="0"/>
              <w:keepNext w:val="0"/>
              <w:keepLines w:val="0"/>
              <w:shd w:val="clear" w:color="auto" w:fill="auto"/>
              <w:bidi w:val="0"/>
              <w:jc w:val="center"/>
              <w:spacing w:before="0" w:after="0" w:line="260" w:lineRule="exact"/>
              <w:ind w:left="0" w:right="0" w:firstLine="0"/>
            </w:pPr>
            <w:r>
              <w:rPr>
                <w:rStyle w:val="CharStyle37"/>
              </w:rPr>
              <w:t>Характеристика товара</w:t>
            </w:r>
          </w:p>
        </w:tc>
        <w:tc>
          <w:tcPr>
            <w:shd w:val="clear" w:color="auto" w:fill="FFFFFF"/>
            <w:tcBorders>
              <w:left w:val="single" w:sz="4"/>
              <w:top w:val="single" w:sz="4"/>
            </w:tcBorders>
            <w:vAlign w:val="top"/>
          </w:tcPr>
          <w:p>
            <w:pPr>
              <w:pStyle w:val="Style18"/>
              <w:framePr w:w="10157" w:wrap="notBeside" w:vAnchor="text" w:hAnchor="text" w:xAlign="center" w:y="1"/>
              <w:widowControl w:val="0"/>
              <w:keepNext w:val="0"/>
              <w:keepLines w:val="0"/>
              <w:shd w:val="clear" w:color="auto" w:fill="auto"/>
              <w:bidi w:val="0"/>
              <w:jc w:val="left"/>
              <w:spacing w:before="0" w:after="120" w:line="260" w:lineRule="exact"/>
              <w:ind w:left="140" w:right="0" w:firstLine="0"/>
            </w:pPr>
            <w:r>
              <w:rPr>
                <w:rStyle w:val="CharStyle37"/>
              </w:rPr>
              <w:t>Ед.</w:t>
            </w:r>
          </w:p>
          <w:p>
            <w:pPr>
              <w:pStyle w:val="Style18"/>
              <w:framePr w:w="10157" w:wrap="notBeside" w:vAnchor="text" w:hAnchor="text" w:xAlign="center" w:y="1"/>
              <w:widowControl w:val="0"/>
              <w:keepNext w:val="0"/>
              <w:keepLines w:val="0"/>
              <w:shd w:val="clear" w:color="auto" w:fill="auto"/>
              <w:bidi w:val="0"/>
              <w:jc w:val="left"/>
              <w:spacing w:before="120" w:after="0" w:line="260" w:lineRule="exact"/>
              <w:ind w:left="140" w:right="0" w:firstLine="0"/>
            </w:pPr>
            <w:r>
              <w:rPr>
                <w:rStyle w:val="CharStyle37"/>
              </w:rPr>
              <w:t>изм</w:t>
            </w:r>
          </w:p>
        </w:tc>
        <w:tc>
          <w:tcPr>
            <w:shd w:val="clear" w:color="auto" w:fill="FFFFFF"/>
            <w:tcBorders>
              <w:left w:val="single" w:sz="4"/>
              <w:right w:val="single" w:sz="4"/>
              <w:top w:val="single" w:sz="4"/>
            </w:tcBorders>
            <w:vAlign w:val="center"/>
          </w:tcPr>
          <w:p>
            <w:pPr>
              <w:pStyle w:val="Style18"/>
              <w:framePr w:w="10157" w:wrap="notBeside" w:vAnchor="text" w:hAnchor="text" w:xAlign="center" w:y="1"/>
              <w:widowControl w:val="0"/>
              <w:keepNext w:val="0"/>
              <w:keepLines w:val="0"/>
              <w:shd w:val="clear" w:color="auto" w:fill="auto"/>
              <w:bidi w:val="0"/>
              <w:jc w:val="center"/>
              <w:spacing w:before="0" w:after="120" w:line="260" w:lineRule="exact"/>
              <w:ind w:left="0" w:right="0" w:firstLine="0"/>
            </w:pPr>
            <w:r>
              <w:rPr>
                <w:rStyle w:val="CharStyle37"/>
              </w:rPr>
              <w:t>Кол-</w:t>
            </w:r>
          </w:p>
          <w:p>
            <w:pPr>
              <w:pStyle w:val="Style18"/>
              <w:framePr w:w="10157" w:wrap="notBeside" w:vAnchor="text" w:hAnchor="text" w:xAlign="center" w:y="1"/>
              <w:widowControl w:val="0"/>
              <w:keepNext w:val="0"/>
              <w:keepLines w:val="0"/>
              <w:shd w:val="clear" w:color="auto" w:fill="auto"/>
              <w:bidi w:val="0"/>
              <w:jc w:val="center"/>
              <w:spacing w:before="120" w:after="0" w:line="260" w:lineRule="exact"/>
              <w:ind w:left="0" w:right="0" w:firstLine="0"/>
            </w:pPr>
            <w:r>
              <w:rPr>
                <w:rStyle w:val="CharStyle37"/>
              </w:rPr>
              <w:t>во</w:t>
            </w:r>
          </w:p>
        </w:tc>
      </w:tr>
      <w:tr>
        <w:trPr>
          <w:trHeight w:val="5170" w:hRule="exact"/>
        </w:trPr>
        <w:tc>
          <w:tcPr>
            <w:shd w:val="clear" w:color="auto" w:fill="FFFFFF"/>
            <w:tcBorders>
              <w:left w:val="single" w:sz="4"/>
              <w:top w:val="single" w:sz="4"/>
              <w:bottom w:val="single" w:sz="4"/>
            </w:tcBorders>
            <w:vAlign w:val="center"/>
          </w:tcPr>
          <w:p>
            <w:pPr>
              <w:pStyle w:val="Style18"/>
              <w:framePr w:w="10157" w:wrap="notBeside" w:vAnchor="text" w:hAnchor="text" w:xAlign="center" w:y="1"/>
              <w:widowControl w:val="0"/>
              <w:keepNext w:val="0"/>
              <w:keepLines w:val="0"/>
              <w:shd w:val="clear" w:color="auto" w:fill="auto"/>
              <w:bidi w:val="0"/>
              <w:jc w:val="left"/>
              <w:spacing w:before="0" w:after="0" w:line="260" w:lineRule="exact"/>
              <w:ind w:left="180" w:right="0" w:firstLine="0"/>
            </w:pPr>
            <w:r>
              <w:rPr>
                <w:rStyle w:val="CharStyle37"/>
              </w:rPr>
              <w:t>1</w:t>
            </w:r>
          </w:p>
        </w:tc>
        <w:tc>
          <w:tcPr>
            <w:shd w:val="clear" w:color="auto" w:fill="FFFFFF"/>
            <w:tcBorders>
              <w:left w:val="single" w:sz="4"/>
              <w:top w:val="single" w:sz="4"/>
              <w:bottom w:val="single" w:sz="4"/>
            </w:tcBorders>
            <w:vAlign w:val="center"/>
          </w:tcPr>
          <w:p>
            <w:pPr>
              <w:pStyle w:val="Style18"/>
              <w:framePr w:w="10157" w:wrap="notBeside" w:vAnchor="text" w:hAnchor="text" w:xAlign="center" w:y="1"/>
              <w:widowControl w:val="0"/>
              <w:keepNext w:val="0"/>
              <w:keepLines w:val="0"/>
              <w:shd w:val="clear" w:color="auto" w:fill="auto"/>
              <w:bidi w:val="0"/>
              <w:jc w:val="center"/>
              <w:spacing w:before="0" w:after="0" w:line="322" w:lineRule="exact"/>
              <w:ind w:left="0" w:right="0" w:firstLine="0"/>
            </w:pPr>
            <w:r>
              <w:rPr>
                <w:rStyle w:val="CharStyle37"/>
              </w:rPr>
              <w:t>Светильник светодиодный Федерация 26Вт 595+ или аналог</w:t>
            </w:r>
          </w:p>
        </w:tc>
        <w:tc>
          <w:tcPr>
            <w:shd w:val="clear" w:color="auto" w:fill="FFFFFF"/>
            <w:tcBorders>
              <w:left w:val="single" w:sz="4"/>
              <w:top w:val="single" w:sz="4"/>
              <w:bottom w:val="single" w:sz="4"/>
            </w:tcBorders>
            <w:vAlign w:val="bottom"/>
          </w:tcPr>
          <w:p>
            <w:pPr>
              <w:pStyle w:val="Style18"/>
              <w:framePr w:w="10157" w:wrap="notBeside" w:vAnchor="text" w:hAnchor="text" w:xAlign="center" w:y="1"/>
              <w:widowControl w:val="0"/>
              <w:keepNext w:val="0"/>
              <w:keepLines w:val="0"/>
              <w:shd w:val="clear" w:color="auto" w:fill="auto"/>
              <w:bidi w:val="0"/>
              <w:jc w:val="left"/>
              <w:spacing w:before="0" w:after="0" w:line="322" w:lineRule="exact"/>
              <w:ind w:left="100" w:right="0" w:firstLine="0"/>
            </w:pPr>
            <w:r>
              <w:rPr>
                <w:rStyle w:val="CharStyle37"/>
              </w:rPr>
              <w:t>Мощность - 26 Вт;</w:t>
            </w:r>
          </w:p>
          <w:p>
            <w:pPr>
              <w:pStyle w:val="Style18"/>
              <w:framePr w:w="10157" w:wrap="notBeside" w:vAnchor="text" w:hAnchor="text" w:xAlign="center" w:y="1"/>
              <w:widowControl w:val="0"/>
              <w:keepNext w:val="0"/>
              <w:keepLines w:val="0"/>
              <w:shd w:val="clear" w:color="auto" w:fill="auto"/>
              <w:bidi w:val="0"/>
              <w:jc w:val="left"/>
              <w:spacing w:before="0" w:after="0" w:line="322" w:lineRule="exact"/>
              <w:ind w:left="100" w:right="0" w:firstLine="0"/>
            </w:pPr>
            <w:r>
              <w:rPr>
                <w:rStyle w:val="CharStyle37"/>
              </w:rPr>
              <w:t xml:space="preserve">Степень защиты - не менее </w:t>
            </w:r>
            <w:r>
              <w:rPr>
                <w:rStyle w:val="CharStyle37"/>
                <w:lang w:val="en-US" w:eastAsia="en-US" w:bidi="en-US"/>
              </w:rPr>
              <w:t>IP40;</w:t>
            </w:r>
          </w:p>
          <w:p>
            <w:pPr>
              <w:pStyle w:val="Style18"/>
              <w:framePr w:w="10157" w:wrap="notBeside" w:vAnchor="text" w:hAnchor="text" w:xAlign="center" w:y="1"/>
              <w:widowControl w:val="0"/>
              <w:keepNext w:val="0"/>
              <w:keepLines w:val="0"/>
              <w:shd w:val="clear" w:color="auto" w:fill="auto"/>
              <w:bidi w:val="0"/>
              <w:jc w:val="left"/>
              <w:spacing w:before="0" w:after="0" w:line="322" w:lineRule="exact"/>
              <w:ind w:left="100" w:right="0" w:firstLine="0"/>
            </w:pPr>
            <w:r>
              <w:rPr>
                <w:rStyle w:val="CharStyle37"/>
              </w:rPr>
              <w:t>Цветовая температура -4000К;</w:t>
            </w:r>
          </w:p>
          <w:p>
            <w:pPr>
              <w:pStyle w:val="Style18"/>
              <w:framePr w:w="10157" w:wrap="notBeside" w:vAnchor="text" w:hAnchor="text" w:xAlign="center" w:y="1"/>
              <w:widowControl w:val="0"/>
              <w:keepNext w:val="0"/>
              <w:keepLines w:val="0"/>
              <w:shd w:val="clear" w:color="auto" w:fill="auto"/>
              <w:bidi w:val="0"/>
              <w:jc w:val="left"/>
              <w:spacing w:before="0" w:after="0" w:line="322" w:lineRule="exact"/>
              <w:ind w:left="100" w:right="0" w:firstLine="0"/>
            </w:pPr>
            <w:r>
              <w:rPr>
                <w:rStyle w:val="CharStyle37"/>
              </w:rPr>
              <w:t>Световой поток - не менее 3300 лм;</w:t>
            </w:r>
          </w:p>
          <w:p>
            <w:pPr>
              <w:pStyle w:val="Style18"/>
              <w:framePr w:w="10157" w:wrap="notBeside" w:vAnchor="text" w:hAnchor="text" w:xAlign="center" w:y="1"/>
              <w:widowControl w:val="0"/>
              <w:keepNext w:val="0"/>
              <w:keepLines w:val="0"/>
              <w:shd w:val="clear" w:color="auto" w:fill="auto"/>
              <w:bidi w:val="0"/>
              <w:jc w:val="left"/>
              <w:spacing w:before="0" w:after="0" w:line="322" w:lineRule="exact"/>
              <w:ind w:left="100" w:right="0" w:firstLine="0"/>
            </w:pPr>
            <w:r>
              <w:rPr>
                <w:rStyle w:val="CharStyle37"/>
              </w:rPr>
              <w:t>Диапазон рабочих температур - от-20до +40°С;</w:t>
            </w:r>
          </w:p>
          <w:p>
            <w:pPr>
              <w:pStyle w:val="Style18"/>
              <w:framePr w:w="10157" w:wrap="notBeside" w:vAnchor="text" w:hAnchor="text" w:xAlign="center" w:y="1"/>
              <w:widowControl w:val="0"/>
              <w:keepNext w:val="0"/>
              <w:keepLines w:val="0"/>
              <w:shd w:val="clear" w:color="auto" w:fill="auto"/>
              <w:bidi w:val="0"/>
              <w:jc w:val="left"/>
              <w:spacing w:before="0" w:after="0" w:line="322" w:lineRule="exact"/>
              <w:ind w:left="100" w:right="0" w:firstLine="0"/>
            </w:pPr>
            <w:r>
              <w:rPr>
                <w:rStyle w:val="CharStyle37"/>
              </w:rPr>
              <w:t>Номинальное напряжение: 176-264 В; Предельный диапазон напряжения:150-280В; Частота: 50-60 Гц;</w:t>
            </w:r>
          </w:p>
          <w:p>
            <w:pPr>
              <w:pStyle w:val="Style18"/>
              <w:framePr w:w="10157" w:wrap="notBeside" w:vAnchor="text" w:hAnchor="text" w:xAlign="center" w:y="1"/>
              <w:widowControl w:val="0"/>
              <w:keepNext w:val="0"/>
              <w:keepLines w:val="0"/>
              <w:shd w:val="clear" w:color="auto" w:fill="auto"/>
              <w:bidi w:val="0"/>
              <w:jc w:val="left"/>
              <w:spacing w:before="0" w:after="0" w:line="322" w:lineRule="exact"/>
              <w:ind w:left="100" w:right="0" w:firstLine="0"/>
            </w:pPr>
            <w:r>
              <w:rPr>
                <w:rStyle w:val="CharStyle37"/>
              </w:rPr>
              <w:t>Коэффициент пульсации: &lt;1%</w:t>
            </w:r>
          </w:p>
          <w:p>
            <w:pPr>
              <w:pStyle w:val="Style18"/>
              <w:framePr w:w="10157" w:wrap="notBeside" w:vAnchor="text" w:hAnchor="text" w:xAlign="center" w:y="1"/>
              <w:widowControl w:val="0"/>
              <w:keepNext w:val="0"/>
              <w:keepLines w:val="0"/>
              <w:shd w:val="clear" w:color="auto" w:fill="auto"/>
              <w:bidi w:val="0"/>
              <w:jc w:val="left"/>
              <w:spacing w:before="0" w:after="0" w:line="322" w:lineRule="exact"/>
              <w:ind w:left="100" w:right="0" w:firstLine="0"/>
            </w:pPr>
            <w:r>
              <w:rPr>
                <w:rStyle w:val="CharStyle37"/>
              </w:rPr>
              <w:t xml:space="preserve">Индекс цветопередачи: </w:t>
            </w:r>
            <w:r>
              <w:rPr>
                <w:rStyle w:val="CharStyle37"/>
                <w:lang w:val="en-US" w:eastAsia="en-US" w:bidi="en-US"/>
              </w:rPr>
              <w:t xml:space="preserve">&gt;80Ra </w:t>
            </w:r>
            <w:r>
              <w:rPr>
                <w:rStyle w:val="CharStyle37"/>
              </w:rPr>
              <w:t>Энергоэффективность светильника: не менее 140 лм/Вт</w:t>
            </w:r>
          </w:p>
          <w:p>
            <w:pPr>
              <w:pStyle w:val="Style18"/>
              <w:framePr w:w="10157" w:wrap="notBeside" w:vAnchor="text" w:hAnchor="text" w:xAlign="center" w:y="1"/>
              <w:widowControl w:val="0"/>
              <w:keepNext w:val="0"/>
              <w:keepLines w:val="0"/>
              <w:shd w:val="clear" w:color="auto" w:fill="auto"/>
              <w:bidi w:val="0"/>
              <w:jc w:val="left"/>
              <w:spacing w:before="0" w:after="0" w:line="322" w:lineRule="exact"/>
              <w:ind w:left="100" w:right="0" w:firstLine="0"/>
            </w:pPr>
            <w:r>
              <w:rPr>
                <w:rStyle w:val="CharStyle37"/>
              </w:rPr>
              <w:t>Габариты: 595^595^40, мм</w:t>
            </w:r>
          </w:p>
          <w:p>
            <w:pPr>
              <w:pStyle w:val="Style18"/>
              <w:framePr w:w="10157" w:wrap="notBeside" w:vAnchor="text" w:hAnchor="text" w:xAlign="center" w:y="1"/>
              <w:widowControl w:val="0"/>
              <w:keepNext w:val="0"/>
              <w:keepLines w:val="0"/>
              <w:shd w:val="clear" w:color="auto" w:fill="auto"/>
              <w:bidi w:val="0"/>
              <w:jc w:val="left"/>
              <w:spacing w:before="0" w:after="0" w:line="322" w:lineRule="exact"/>
              <w:ind w:left="100" w:right="0" w:firstLine="0"/>
            </w:pPr>
            <w:r>
              <w:rPr>
                <w:rStyle w:val="CharStyle37"/>
              </w:rPr>
              <w:t>Гарантия не менее 5 лет</w:t>
            </w:r>
          </w:p>
          <w:p>
            <w:pPr>
              <w:pStyle w:val="Style18"/>
              <w:framePr w:w="10157" w:wrap="notBeside" w:vAnchor="text" w:hAnchor="text" w:xAlign="center" w:y="1"/>
              <w:widowControl w:val="0"/>
              <w:keepNext w:val="0"/>
              <w:keepLines w:val="0"/>
              <w:shd w:val="clear" w:color="auto" w:fill="auto"/>
              <w:bidi w:val="0"/>
              <w:jc w:val="left"/>
              <w:spacing w:before="0" w:after="0" w:line="322" w:lineRule="exact"/>
              <w:ind w:left="100" w:right="0" w:firstLine="0"/>
            </w:pPr>
            <w:r>
              <w:rPr>
                <w:rStyle w:val="CharStyle37"/>
              </w:rPr>
              <w:t>Класс энергосбережения: не ниже «А»</w:t>
            </w:r>
          </w:p>
        </w:tc>
        <w:tc>
          <w:tcPr>
            <w:shd w:val="clear" w:color="auto" w:fill="FFFFFF"/>
            <w:tcBorders>
              <w:left w:val="single" w:sz="4"/>
              <w:top w:val="single" w:sz="4"/>
              <w:bottom w:val="single" w:sz="4"/>
            </w:tcBorders>
            <w:vAlign w:val="center"/>
          </w:tcPr>
          <w:p>
            <w:pPr>
              <w:pStyle w:val="Style18"/>
              <w:framePr w:w="10157" w:wrap="notBeside" w:vAnchor="text" w:hAnchor="text" w:xAlign="center" w:y="1"/>
              <w:widowControl w:val="0"/>
              <w:keepNext w:val="0"/>
              <w:keepLines w:val="0"/>
              <w:shd w:val="clear" w:color="auto" w:fill="auto"/>
              <w:bidi w:val="0"/>
              <w:jc w:val="left"/>
              <w:spacing w:before="0" w:after="0" w:line="260" w:lineRule="exact"/>
              <w:ind w:left="140" w:right="0" w:firstLine="0"/>
            </w:pPr>
            <w:r>
              <w:rPr>
                <w:rStyle w:val="CharStyle37"/>
              </w:rPr>
              <w:t>шт</w:t>
            </w:r>
          </w:p>
        </w:tc>
        <w:tc>
          <w:tcPr>
            <w:shd w:val="clear" w:color="auto" w:fill="FFFFFF"/>
            <w:tcBorders>
              <w:left w:val="single" w:sz="4"/>
              <w:right w:val="single" w:sz="4"/>
              <w:top w:val="single" w:sz="4"/>
              <w:bottom w:val="single" w:sz="4"/>
            </w:tcBorders>
            <w:vAlign w:val="center"/>
          </w:tcPr>
          <w:p>
            <w:pPr>
              <w:pStyle w:val="Style18"/>
              <w:framePr w:w="10157" w:wrap="notBeside" w:vAnchor="text" w:hAnchor="text" w:xAlign="center" w:y="1"/>
              <w:widowControl w:val="0"/>
              <w:keepNext w:val="0"/>
              <w:keepLines w:val="0"/>
              <w:shd w:val="clear" w:color="auto" w:fill="auto"/>
              <w:bidi w:val="0"/>
              <w:jc w:val="center"/>
              <w:spacing w:before="0" w:after="0" w:line="260" w:lineRule="exact"/>
              <w:ind w:left="0" w:right="0" w:firstLine="0"/>
            </w:pPr>
            <w:r>
              <w:rPr>
                <w:rStyle w:val="CharStyle37"/>
              </w:rPr>
              <w:t>30</w:t>
            </w:r>
          </w:p>
        </w:tc>
      </w:tr>
    </w:tbl>
    <w:p>
      <w:pPr>
        <w:pStyle w:val="Style33"/>
        <w:framePr w:w="10157" w:wrap="notBeside" w:vAnchor="text" w:hAnchor="text" w:xAlign="center" w:y="1"/>
        <w:widowControl w:val="0"/>
        <w:keepNext w:val="0"/>
        <w:keepLines w:val="0"/>
        <w:shd w:val="clear" w:color="auto" w:fill="auto"/>
        <w:bidi w:val="0"/>
        <w:spacing w:before="0" w:after="0" w:line="322" w:lineRule="exact"/>
        <w:ind w:left="0" w:right="0" w:firstLine="0"/>
      </w:pPr>
      <w:r>
        <w:rPr>
          <w:lang w:val="ru-RU" w:eastAsia="ru-RU" w:bidi="ru-RU"/>
          <w:w w:val="100"/>
          <w:spacing w:val="0"/>
          <w:color w:val="000000"/>
          <w:position w:val="0"/>
        </w:rPr>
        <w:t>Изучив заявку ООО «Магнит» Комиссия Нижегородского УФАС России установила, что в ней к поставке предлагался товар «Светильник светодиодный Федерация Россия».</w:t>
      </w:r>
    </w:p>
    <w:p>
      <w:pPr>
        <w:widowControl w:val="0"/>
        <w:rPr>
          <w:sz w:val="2"/>
          <w:szCs w:val="2"/>
        </w:rPr>
      </w:pPr>
    </w:p>
    <w:p>
      <w:pPr>
        <w:pStyle w:val="Style18"/>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На основании вышесказанного Комиссия Нижегородского УФАС России приходит к выводу, что предоставленная обществом в составе заявки декларация не соответствует предлагаемому им товару.</w:t>
      </w:r>
    </w:p>
    <w:p>
      <w:pPr>
        <w:pStyle w:val="Style18"/>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Таким образом аукционная комиссия заказчика имела обязанность отклонить заявку 209 (заявка ООО «Магнит») при подведении итогов названного электронного аукциона.</w:t>
      </w:r>
    </w:p>
    <w:p>
      <w:pPr>
        <w:pStyle w:val="Style18"/>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Жалоба заявителя признается Комиссией Нижегородского УФАС России необоснованной.</w:t>
      </w:r>
    </w:p>
    <w:p>
      <w:pPr>
        <w:pStyle w:val="Style18"/>
        <w:widowControl w:val="0"/>
        <w:keepNext w:val="0"/>
        <w:keepLines w:val="0"/>
        <w:shd w:val="clear" w:color="auto" w:fill="auto"/>
        <w:bidi w:val="0"/>
        <w:jc w:val="both"/>
        <w:spacing w:before="0" w:after="349" w:line="322" w:lineRule="exact"/>
        <w:ind w:left="20" w:right="20" w:firstLine="700"/>
      </w:pPr>
      <w:r>
        <w:rPr>
          <w:lang w:val="ru-RU" w:eastAsia="ru-RU" w:bidi="ru-RU"/>
          <w:w w:val="100"/>
          <w:spacing w:val="0"/>
          <w:color w:val="000000"/>
          <w:position w:val="0"/>
        </w:rPr>
        <w:t>С учетом изложенного, руководствуясь частью 8 статьи 106 Федерального закона от 05.04.2013 №44-ФЗ «О контрактной системе в сфере закупок товаров, работ, услуг для обеспечения государственных и муниципальных нужд», Комиссия Управления Федеральной антимонопольной службы по Нижегородской области по контролю в сфере закупок.</w:t>
      </w:r>
    </w:p>
    <w:p>
      <w:pPr>
        <w:pStyle w:val="Style28"/>
        <w:widowControl w:val="0"/>
        <w:keepNext/>
        <w:keepLines/>
        <w:shd w:val="clear" w:color="auto" w:fill="auto"/>
        <w:bidi w:val="0"/>
        <w:jc w:val="left"/>
        <w:spacing w:before="0" w:after="423" w:line="260" w:lineRule="exact"/>
        <w:ind w:left="4880" w:right="0" w:firstLine="0"/>
      </w:pPr>
      <w:bookmarkStart w:id="1" w:name="bookmark1"/>
      <w:r>
        <w:rPr>
          <w:lang w:val="ru-RU" w:eastAsia="ru-RU" w:bidi="ru-RU"/>
          <w:w w:val="100"/>
          <w:spacing w:val="0"/>
          <w:color w:val="000000"/>
          <w:position w:val="0"/>
        </w:rPr>
        <w:t>решила</w:t>
      </w:r>
      <w:r>
        <w:rPr>
          <w:rStyle w:val="CharStyle38"/>
          <w:b w:val="0"/>
          <w:bCs w:val="0"/>
        </w:rPr>
        <w:t>:</w:t>
      </w:r>
      <w:bookmarkEnd w:id="1"/>
    </w:p>
    <w:p>
      <w:pPr>
        <w:pStyle w:val="Style18"/>
        <w:widowControl w:val="0"/>
        <w:keepNext w:val="0"/>
        <w:keepLines w:val="0"/>
        <w:shd w:val="clear" w:color="auto" w:fill="auto"/>
        <w:bidi w:val="0"/>
        <w:jc w:val="both"/>
        <w:spacing w:before="0" w:after="300" w:line="322" w:lineRule="exact"/>
        <w:ind w:left="20" w:right="20" w:firstLine="700"/>
      </w:pPr>
      <w:r>
        <w:rPr>
          <w:lang w:val="ru-RU" w:eastAsia="ru-RU" w:bidi="ru-RU"/>
          <w:w w:val="100"/>
          <w:spacing w:val="0"/>
          <w:color w:val="000000"/>
          <w:position w:val="0"/>
        </w:rPr>
        <w:t>Признать жалобу Общества с ограниченной ответственностью «Магнит» на действия аукционной комиссии Федерального государственного казенного учреждения Комбината «Приволжский» Управления Федерального агентства по государственным резервам по Приволжскому Федеральному округу при проведении электронного аукциона на право заключения контракта по объекту закупки: ««Поставка светодиодных светильников», номер извещения 0332100013021000098, необоснованной.</w:t>
      </w:r>
    </w:p>
    <w:p>
      <w:pPr>
        <w:pStyle w:val="Style30"/>
        <w:widowControl w:val="0"/>
        <w:keepNext w:val="0"/>
        <w:keepLines w:val="0"/>
        <w:shd w:val="clear" w:color="auto" w:fill="auto"/>
        <w:bidi w:val="0"/>
        <w:spacing w:before="0" w:after="409"/>
        <w:ind w:left="20" w:right="20" w:firstLine="700"/>
      </w:pPr>
      <w:r>
        <w:rPr>
          <w:lang w:val="ru-RU" w:eastAsia="ru-RU" w:bidi="ru-RU"/>
          <w:w w:val="100"/>
          <w:spacing w:val="0"/>
          <w:color w:val="000000"/>
          <w:position w:val="0"/>
        </w:rPr>
        <w:t>В соответствии с частью 9 статьи 106 Федерального закона от 05.04.2013 №44- ФЗ «О контрактной системе в сфере закупок товаров, работ, услуг для обеспечения государственных и муниципальных нужд» настоящее решение может быть обжаловано в судебном порядке в течение трех месяцев со дня его принятия.</w:t>
      </w:r>
    </w:p>
    <w:p>
      <w:pPr>
        <w:pStyle w:val="Style18"/>
        <w:tabs>
          <w:tab w:leader="none" w:pos="7026" w:val="center"/>
          <w:tab w:leader="none" w:pos="8452" w:val="right"/>
        </w:tabs>
        <w:widowControl w:val="0"/>
        <w:keepNext w:val="0"/>
        <w:keepLines w:val="0"/>
        <w:shd w:val="clear" w:color="auto" w:fill="auto"/>
        <w:bidi w:val="0"/>
        <w:jc w:val="both"/>
        <w:spacing w:before="0" w:after="827" w:line="260" w:lineRule="exact"/>
        <w:ind w:left="580" w:right="0" w:firstLine="0"/>
      </w:pPr>
      <w:r>
        <w:rPr>
          <w:lang w:val="ru-RU" w:eastAsia="ru-RU" w:bidi="ru-RU"/>
          <w:w w:val="100"/>
          <w:spacing w:val="0"/>
          <w:color w:val="000000"/>
          <w:position w:val="0"/>
        </w:rPr>
        <w:t>Председатель комиссии</w:t>
        <w:tab/>
        <w:t>А.А.</w:t>
        <w:tab/>
        <w:t>Барышев</w:t>
      </w:r>
    </w:p>
    <w:p>
      <w:pPr>
        <w:pStyle w:val="Style18"/>
        <w:tabs>
          <w:tab w:leader="none" w:pos="8010" w:val="right"/>
        </w:tabs>
        <w:widowControl w:val="0"/>
        <w:keepNext w:val="0"/>
        <w:keepLines w:val="0"/>
        <w:shd w:val="clear" w:color="auto" w:fill="auto"/>
        <w:bidi w:val="0"/>
        <w:jc w:val="both"/>
        <w:spacing w:before="0" w:after="832" w:line="260" w:lineRule="exact"/>
        <w:ind w:left="580" w:right="0" w:firstLine="0"/>
      </w:pPr>
      <w:r>
        <w:rPr>
          <w:lang w:val="ru-RU" w:eastAsia="ru-RU" w:bidi="ru-RU"/>
          <w:w w:val="100"/>
          <w:spacing w:val="0"/>
          <w:color w:val="000000"/>
          <w:position w:val="0"/>
        </w:rPr>
        <w:t>Члены комиссии</w:t>
        <w:tab/>
        <w:t>Р.В. Кечин</w:t>
      </w:r>
    </w:p>
    <w:p>
      <w:pPr>
        <w:pStyle w:val="Style18"/>
        <w:widowControl w:val="0"/>
        <w:keepNext w:val="0"/>
        <w:keepLines w:val="0"/>
        <w:shd w:val="clear" w:color="auto" w:fill="auto"/>
        <w:bidi w:val="0"/>
        <w:jc w:val="left"/>
        <w:spacing w:before="0" w:after="499" w:line="260" w:lineRule="exact"/>
        <w:ind w:left="6740" w:right="0" w:firstLine="0"/>
      </w:pPr>
      <w:r>
        <w:rPr>
          <w:lang w:val="ru-RU" w:eastAsia="ru-RU" w:bidi="ru-RU"/>
          <w:w w:val="100"/>
          <w:spacing w:val="0"/>
          <w:color w:val="000000"/>
          <w:position w:val="0"/>
        </w:rPr>
        <w:t>Д.А. Будрик</w:t>
      </w:r>
    </w:p>
    <w:p>
      <w:pPr>
        <w:pStyle w:val="Style39"/>
        <w:widowControl w:val="0"/>
        <w:keepNext w:val="0"/>
        <w:keepLines w:val="0"/>
        <w:shd w:val="clear" w:color="auto" w:fill="auto"/>
        <w:bidi w:val="0"/>
        <w:jc w:val="left"/>
        <w:spacing w:before="0" w:after="0"/>
        <w:ind w:left="20" w:right="7200" w:firstLine="0"/>
      </w:pPr>
      <w:r>
        <w:rPr>
          <w:lang w:val="ru-RU" w:eastAsia="ru-RU" w:bidi="ru-RU"/>
          <w:w w:val="100"/>
          <w:spacing w:val="0"/>
          <w:color w:val="000000"/>
          <w:position w:val="0"/>
        </w:rPr>
        <w:t>Исп.Будрик Д.А.</w:t>
      </w:r>
      <w:r>
        <w:rPr>
          <w:lang w:val="ru-RU" w:eastAsia="ru-RU" w:bidi="ru-RU"/>
          <w:w w:val="100"/>
          <w:spacing w:val="0"/>
          <w:color w:val="000000"/>
          <w:position w:val="0"/>
        </w:rPr>
        <w:t xml:space="preserve"> </w:t>
      </w:r>
      <w:r>
        <w:rPr>
          <w:lang w:val="ru-RU" w:eastAsia="ru-RU" w:bidi="ru-RU"/>
          <w:w w:val="100"/>
          <w:spacing w:val="0"/>
          <w:color w:val="000000"/>
          <w:position w:val="0"/>
        </w:rPr>
        <w:t>тел.8(831)4-31-73-87 вн.052-707</w:t>
      </w:r>
    </w:p>
    <w:sectPr>
      <w:type w:val="continuous"/>
      <w:pgSz w:w="11906" w:h="16838"/>
      <w:pgMar w:top="553" w:left="847" w:right="826" w:bottom="1302"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val="0"/>
        <w:bCs w:val="0"/>
        <w:i/>
        <w:iCs/>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3) Exact"/>
    <w:basedOn w:val="DefaultParagraphFont"/>
    <w:rPr>
      <w:b w:val="0"/>
      <w:bCs w:val="0"/>
      <w:i w:val="0"/>
      <w:iCs w:val="0"/>
      <w:u w:val="none"/>
      <w:strike w:val="0"/>
      <w:smallCaps w:val="0"/>
      <w:sz w:val="17"/>
      <w:szCs w:val="17"/>
      <w:rFonts w:ascii="Times New Roman" w:eastAsia="Times New Roman" w:hAnsi="Times New Roman" w:cs="Times New Roman"/>
      <w:spacing w:val="2"/>
    </w:rPr>
  </w:style>
  <w:style w:type="character" w:customStyle="1" w:styleId="CharStyle5">
    <w:name w:val="Основной текст (3) Exact"/>
    <w:basedOn w:val="CharStyle10"/>
    <w:rPr>
      <w:sz w:val="17"/>
      <w:szCs w:val="17"/>
      <w:spacing w:val="2"/>
    </w:rPr>
  </w:style>
  <w:style w:type="character" w:customStyle="1" w:styleId="CharStyle7">
    <w:name w:val="Основной текст (2)_"/>
    <w:basedOn w:val="DefaultParagraphFont"/>
    <w:link w:val="Style6"/>
    <w:rPr>
      <w:b/>
      <w:bCs/>
      <w:i w:val="0"/>
      <w:iCs w:val="0"/>
      <w:u w:val="none"/>
      <w:strike w:val="0"/>
      <w:smallCaps w:val="0"/>
      <w:sz w:val="18"/>
      <w:szCs w:val="18"/>
      <w:rFonts w:ascii="Times New Roman" w:eastAsia="Times New Roman" w:hAnsi="Times New Roman" w:cs="Times New Roman"/>
    </w:rPr>
  </w:style>
  <w:style w:type="character" w:customStyle="1" w:styleId="CharStyle8">
    <w:name w:val="Основной текст (2)"/>
    <w:basedOn w:val="CharStyle7"/>
    <w:rPr>
      <w:lang w:val="ru-RU" w:eastAsia="ru-RU" w:bidi="ru-RU"/>
      <w:w w:val="100"/>
      <w:spacing w:val="0"/>
      <w:color w:val="000000"/>
      <w:position w:val="0"/>
    </w:rPr>
  </w:style>
  <w:style w:type="character" w:customStyle="1" w:styleId="CharStyle9">
    <w:name w:val="Основной текст (2)"/>
    <w:basedOn w:val="CharStyle7"/>
    <w:rPr>
      <w:lang w:val="ru-RU" w:eastAsia="ru-RU" w:bidi="ru-RU"/>
      <w:u w:val="single"/>
      <w:w w:val="100"/>
      <w:spacing w:val="0"/>
      <w:color w:val="000000"/>
      <w:position w:val="0"/>
    </w:rPr>
  </w:style>
  <w:style w:type="character" w:customStyle="1" w:styleId="CharStyle10">
    <w:name w:val="Основной текст (3)_"/>
    <w:basedOn w:val="DefaultParagraphFont"/>
    <w:link w:val="Style3"/>
    <w:rPr>
      <w:b w:val="0"/>
      <w:bCs w:val="0"/>
      <w:i w:val="0"/>
      <w:iCs w:val="0"/>
      <w:u w:val="none"/>
      <w:strike w:val="0"/>
      <w:smallCaps w:val="0"/>
      <w:sz w:val="18"/>
      <w:szCs w:val="18"/>
      <w:rFonts w:ascii="Times New Roman" w:eastAsia="Times New Roman" w:hAnsi="Times New Roman" w:cs="Times New Roman"/>
    </w:rPr>
  </w:style>
  <w:style w:type="character" w:customStyle="1" w:styleId="CharStyle11">
    <w:name w:val="Основной текст (3)"/>
    <w:basedOn w:val="CharStyle10"/>
    <w:rPr>
      <w:lang w:val="ru-RU" w:eastAsia="ru-RU" w:bidi="ru-RU"/>
      <w:w w:val="100"/>
      <w:spacing w:val="0"/>
      <w:color w:val="000000"/>
      <w:position w:val="0"/>
    </w:rPr>
  </w:style>
  <w:style w:type="character" w:customStyle="1" w:styleId="CharStyle12">
    <w:name w:val="Основной текст (3)"/>
    <w:basedOn w:val="CharStyle10"/>
    <w:rPr>
      <w:lang w:val="en-US" w:eastAsia="en-US" w:bidi="en-US"/>
      <w:u w:val="single"/>
      <w:w w:val="100"/>
      <w:spacing w:val="0"/>
      <w:color w:val="000000"/>
      <w:position w:val="0"/>
    </w:rPr>
  </w:style>
  <w:style w:type="character" w:customStyle="1" w:styleId="CharStyle14">
    <w:name w:val="Основной текст (4)_"/>
    <w:basedOn w:val="DefaultParagraphFont"/>
    <w:link w:val="Style13"/>
    <w:rPr>
      <w:b w:val="0"/>
      <w:bCs w:val="0"/>
      <w:i w:val="0"/>
      <w:iCs w:val="0"/>
      <w:u w:val="none"/>
      <w:strike w:val="0"/>
      <w:smallCaps w:val="0"/>
      <w:rFonts w:ascii="Times New Roman" w:eastAsia="Times New Roman" w:hAnsi="Times New Roman" w:cs="Times New Roman"/>
      <w:spacing w:val="10"/>
    </w:rPr>
  </w:style>
  <w:style w:type="character" w:customStyle="1" w:styleId="CharStyle16">
    <w:name w:val="Основной текст (5)_"/>
    <w:basedOn w:val="DefaultParagraphFont"/>
    <w:link w:val="Style15"/>
    <w:rPr>
      <w:b w:val="0"/>
      <w:bCs w:val="0"/>
      <w:i w:val="0"/>
      <w:iCs w:val="0"/>
      <w:u w:val="none"/>
      <w:strike w:val="0"/>
      <w:smallCaps w:val="0"/>
      <w:sz w:val="12"/>
      <w:szCs w:val="12"/>
      <w:rFonts w:ascii="Times New Roman" w:eastAsia="Times New Roman" w:hAnsi="Times New Roman" w:cs="Times New Roman"/>
    </w:rPr>
  </w:style>
  <w:style w:type="character" w:customStyle="1" w:styleId="CharStyle17">
    <w:name w:val="Основной текст (5)"/>
    <w:basedOn w:val="CharStyle16"/>
    <w:rPr>
      <w:lang w:val="ru-RU" w:eastAsia="ru-RU" w:bidi="ru-RU"/>
      <w:w w:val="100"/>
      <w:spacing w:val="0"/>
      <w:color w:val="000000"/>
      <w:position w:val="0"/>
    </w:rPr>
  </w:style>
  <w:style w:type="character" w:customStyle="1" w:styleId="CharStyle19">
    <w:name w:val="Основной текст_"/>
    <w:basedOn w:val="DefaultParagraphFont"/>
    <w:link w:val="Style18"/>
    <w:rPr>
      <w:b w:val="0"/>
      <w:bCs w:val="0"/>
      <w:i w:val="0"/>
      <w:iCs w:val="0"/>
      <w:u w:val="none"/>
      <w:strike w:val="0"/>
      <w:smallCaps w:val="0"/>
      <w:sz w:val="26"/>
      <w:szCs w:val="26"/>
      <w:rFonts w:ascii="Times New Roman" w:eastAsia="Times New Roman" w:hAnsi="Times New Roman" w:cs="Times New Roman"/>
    </w:rPr>
  </w:style>
  <w:style w:type="character" w:customStyle="1" w:styleId="CharStyle21">
    <w:name w:val="Основной текст (6) Exact"/>
    <w:basedOn w:val="DefaultParagraphFont"/>
    <w:rPr>
      <w:b w:val="0"/>
      <w:bCs w:val="0"/>
      <w:i w:val="0"/>
      <w:iCs w:val="0"/>
      <w:u w:val="none"/>
      <w:strike w:val="0"/>
      <w:smallCaps w:val="0"/>
      <w:sz w:val="21"/>
      <w:szCs w:val="21"/>
      <w:rFonts w:ascii="Times New Roman" w:eastAsia="Times New Roman" w:hAnsi="Times New Roman" w:cs="Times New Roman"/>
      <w:spacing w:val="2"/>
    </w:rPr>
  </w:style>
  <w:style w:type="character" w:customStyle="1" w:styleId="CharStyle22">
    <w:name w:val="Основной текст (6)_"/>
    <w:basedOn w:val="DefaultParagraphFont"/>
    <w:link w:val="Style20"/>
    <w:rPr>
      <w:b w:val="0"/>
      <w:bCs w:val="0"/>
      <w:i w:val="0"/>
      <w:iCs w:val="0"/>
      <w:u w:val="none"/>
      <w:strike w:val="0"/>
      <w:smallCaps w:val="0"/>
      <w:sz w:val="22"/>
      <w:szCs w:val="22"/>
      <w:rFonts w:ascii="Times New Roman" w:eastAsia="Times New Roman" w:hAnsi="Times New Roman" w:cs="Times New Roman"/>
    </w:rPr>
  </w:style>
  <w:style w:type="character" w:customStyle="1" w:styleId="CharStyle24">
    <w:name w:val="Основной текст (7)_"/>
    <w:basedOn w:val="DefaultParagraphFont"/>
    <w:link w:val="Style23"/>
    <w:rPr>
      <w:b/>
      <w:bCs/>
      <w:i w:val="0"/>
      <w:iCs w:val="0"/>
      <w:u w:val="none"/>
      <w:strike w:val="0"/>
      <w:smallCaps w:val="0"/>
      <w:sz w:val="26"/>
      <w:szCs w:val="26"/>
      <w:rFonts w:ascii="Times New Roman" w:eastAsia="Times New Roman" w:hAnsi="Times New Roman" w:cs="Times New Roman"/>
    </w:rPr>
  </w:style>
  <w:style w:type="character" w:customStyle="1" w:styleId="CharStyle25">
    <w:name w:val="Основной текст Exact"/>
    <w:basedOn w:val="DefaultParagraphFont"/>
    <w:rPr>
      <w:b w:val="0"/>
      <w:bCs w:val="0"/>
      <w:i w:val="0"/>
      <w:iCs w:val="0"/>
      <w:u w:val="none"/>
      <w:strike w:val="0"/>
      <w:smallCaps w:val="0"/>
      <w:rFonts w:ascii="Times New Roman" w:eastAsia="Times New Roman" w:hAnsi="Times New Roman" w:cs="Times New Roman"/>
      <w:spacing w:val="1"/>
    </w:rPr>
  </w:style>
  <w:style w:type="character" w:customStyle="1" w:styleId="CharStyle27">
    <w:name w:val="Штрих-код (2)_"/>
    <w:basedOn w:val="DefaultParagraphFont"/>
    <w:link w:val="Style26"/>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29">
    <w:name w:val="Заголовок №1_"/>
    <w:basedOn w:val="DefaultParagraphFont"/>
    <w:link w:val="Style28"/>
    <w:rPr>
      <w:b/>
      <w:bCs/>
      <w:i w:val="0"/>
      <w:iCs w:val="0"/>
      <w:u w:val="none"/>
      <w:strike w:val="0"/>
      <w:smallCaps w:val="0"/>
      <w:sz w:val="26"/>
      <w:szCs w:val="26"/>
      <w:rFonts w:ascii="Times New Roman" w:eastAsia="Times New Roman" w:hAnsi="Times New Roman" w:cs="Times New Roman"/>
    </w:rPr>
  </w:style>
  <w:style w:type="character" w:customStyle="1" w:styleId="CharStyle31">
    <w:name w:val="Основной текст (8)_"/>
    <w:basedOn w:val="DefaultParagraphFont"/>
    <w:link w:val="Style30"/>
    <w:rPr>
      <w:b w:val="0"/>
      <w:bCs w:val="0"/>
      <w:i/>
      <w:iCs/>
      <w:u w:val="none"/>
      <w:strike w:val="0"/>
      <w:smallCaps w:val="0"/>
      <w:sz w:val="26"/>
      <w:szCs w:val="26"/>
      <w:rFonts w:ascii="Times New Roman" w:eastAsia="Times New Roman" w:hAnsi="Times New Roman" w:cs="Times New Roman"/>
    </w:rPr>
  </w:style>
  <w:style w:type="character" w:customStyle="1" w:styleId="CharStyle32">
    <w:name w:val="Основной текст"/>
    <w:basedOn w:val="CharStyle19"/>
    <w:rPr>
      <w:lang w:val="ru-RU" w:eastAsia="ru-RU" w:bidi="ru-RU"/>
      <w:u w:val="single"/>
      <w:w w:val="100"/>
      <w:spacing w:val="0"/>
      <w:color w:val="000000"/>
      <w:position w:val="0"/>
    </w:rPr>
  </w:style>
  <w:style w:type="character" w:customStyle="1" w:styleId="CharStyle34">
    <w:name w:val="Подпись к таблице_"/>
    <w:basedOn w:val="DefaultParagraphFont"/>
    <w:link w:val="Style33"/>
    <w:rPr>
      <w:b w:val="0"/>
      <w:bCs w:val="0"/>
      <w:i w:val="0"/>
      <w:iCs w:val="0"/>
      <w:u w:val="none"/>
      <w:strike w:val="0"/>
      <w:smallCaps w:val="0"/>
      <w:sz w:val="26"/>
      <w:szCs w:val="26"/>
      <w:rFonts w:ascii="Times New Roman" w:eastAsia="Times New Roman" w:hAnsi="Times New Roman" w:cs="Times New Roman"/>
    </w:rPr>
  </w:style>
  <w:style w:type="character" w:customStyle="1" w:styleId="CharStyle35">
    <w:name w:val="Подпись к таблице"/>
    <w:basedOn w:val="CharStyle34"/>
    <w:rPr>
      <w:lang w:val="ru-RU" w:eastAsia="ru-RU" w:bidi="ru-RU"/>
      <w:u w:val="single"/>
      <w:w w:val="100"/>
      <w:spacing w:val="0"/>
      <w:color w:val="000000"/>
      <w:position w:val="0"/>
    </w:rPr>
  </w:style>
  <w:style w:type="character" w:customStyle="1" w:styleId="CharStyle36">
    <w:name w:val="Основной текст + 14 pt"/>
    <w:basedOn w:val="CharStyle19"/>
    <w:rPr>
      <w:lang w:val="ru-RU" w:eastAsia="ru-RU" w:bidi="ru-RU"/>
      <w:sz w:val="28"/>
      <w:szCs w:val="28"/>
      <w:w w:val="100"/>
      <w:spacing w:val="0"/>
      <w:color w:val="000000"/>
      <w:position w:val="0"/>
    </w:rPr>
  </w:style>
  <w:style w:type="character" w:customStyle="1" w:styleId="CharStyle37">
    <w:name w:val="Основной текст + Курсив"/>
    <w:basedOn w:val="CharStyle19"/>
    <w:rPr>
      <w:lang w:val="ru-RU" w:eastAsia="ru-RU" w:bidi="ru-RU"/>
      <w:i/>
      <w:iCs/>
      <w:w w:val="100"/>
      <w:spacing w:val="0"/>
      <w:color w:val="000000"/>
      <w:position w:val="0"/>
    </w:rPr>
  </w:style>
  <w:style w:type="character" w:customStyle="1" w:styleId="CharStyle38">
    <w:name w:val="Заголовок №1 + Не полужирный"/>
    <w:basedOn w:val="CharStyle29"/>
    <w:rPr>
      <w:lang w:val="ru-RU" w:eastAsia="ru-RU" w:bidi="ru-RU"/>
      <w:b/>
      <w:bCs/>
      <w:w w:val="100"/>
      <w:spacing w:val="0"/>
      <w:color w:val="000000"/>
      <w:position w:val="0"/>
    </w:rPr>
  </w:style>
  <w:style w:type="character" w:customStyle="1" w:styleId="CharStyle40">
    <w:name w:val="Основной текст (9)_"/>
    <w:basedOn w:val="DefaultParagraphFont"/>
    <w:link w:val="Style39"/>
    <w:rPr>
      <w:b w:val="0"/>
      <w:bCs w:val="0"/>
      <w:i w:val="0"/>
      <w:iCs w:val="0"/>
      <w:u w:val="none"/>
      <w:strike w:val="0"/>
      <w:smallCaps w:val="0"/>
      <w:sz w:val="21"/>
      <w:szCs w:val="21"/>
      <w:rFonts w:ascii="Times New Roman" w:eastAsia="Times New Roman" w:hAnsi="Times New Roman" w:cs="Times New Roman"/>
    </w:rPr>
  </w:style>
  <w:style w:type="paragraph" w:customStyle="1" w:styleId="Style3">
    <w:name w:val="Основной текст (3)"/>
    <w:basedOn w:val="Normal"/>
    <w:link w:val="CharStyle10"/>
    <w:pPr>
      <w:widowControl w:val="0"/>
      <w:shd w:val="clear" w:color="auto" w:fill="FFFFFF"/>
      <w:spacing w:before="180" w:after="180" w:line="216" w:lineRule="exact"/>
    </w:pPr>
    <w:rPr>
      <w:b w:val="0"/>
      <w:bCs w:val="0"/>
      <w:i w:val="0"/>
      <w:iCs w:val="0"/>
      <w:u w:val="none"/>
      <w:strike w:val="0"/>
      <w:smallCaps w:val="0"/>
      <w:sz w:val="18"/>
      <w:szCs w:val="18"/>
      <w:rFonts w:ascii="Times New Roman" w:eastAsia="Times New Roman" w:hAnsi="Times New Roman" w:cs="Times New Roman"/>
    </w:rPr>
  </w:style>
  <w:style w:type="paragraph" w:customStyle="1" w:styleId="Style6">
    <w:name w:val="Основной текст (2)"/>
    <w:basedOn w:val="Normal"/>
    <w:link w:val="CharStyle7"/>
    <w:pPr>
      <w:widowControl w:val="0"/>
      <w:shd w:val="clear" w:color="auto" w:fill="FFFFFF"/>
      <w:jc w:val="center"/>
      <w:spacing w:after="180" w:line="240" w:lineRule="exact"/>
    </w:pPr>
    <w:rPr>
      <w:b/>
      <w:bCs/>
      <w:i w:val="0"/>
      <w:iCs w:val="0"/>
      <w:u w:val="none"/>
      <w:strike w:val="0"/>
      <w:smallCaps w:val="0"/>
      <w:sz w:val="18"/>
      <w:szCs w:val="18"/>
      <w:rFonts w:ascii="Times New Roman" w:eastAsia="Times New Roman" w:hAnsi="Times New Roman" w:cs="Times New Roman"/>
    </w:rPr>
  </w:style>
  <w:style w:type="paragraph" w:customStyle="1" w:styleId="Style13">
    <w:name w:val="Основной текст (4)"/>
    <w:basedOn w:val="Normal"/>
    <w:link w:val="CharStyle14"/>
    <w:pPr>
      <w:widowControl w:val="0"/>
      <w:shd w:val="clear" w:color="auto" w:fill="FFFFFF"/>
      <w:jc w:val="both"/>
      <w:spacing w:before="180" w:after="360" w:line="0" w:lineRule="exact"/>
    </w:pPr>
    <w:rPr>
      <w:b w:val="0"/>
      <w:bCs w:val="0"/>
      <w:i w:val="0"/>
      <w:iCs w:val="0"/>
      <w:u w:val="none"/>
      <w:strike w:val="0"/>
      <w:smallCaps w:val="0"/>
      <w:rFonts w:ascii="Times New Roman" w:eastAsia="Times New Roman" w:hAnsi="Times New Roman" w:cs="Times New Roman"/>
      <w:spacing w:val="10"/>
    </w:rPr>
  </w:style>
  <w:style w:type="paragraph" w:customStyle="1" w:styleId="Style15">
    <w:name w:val="Основной текст (5)"/>
    <w:basedOn w:val="Normal"/>
    <w:link w:val="CharStyle16"/>
    <w:pPr>
      <w:widowControl w:val="0"/>
      <w:shd w:val="clear" w:color="auto" w:fill="FFFFFF"/>
      <w:jc w:val="center"/>
      <w:spacing w:before="360" w:line="0" w:lineRule="exact"/>
    </w:pPr>
    <w:rPr>
      <w:b w:val="0"/>
      <w:bCs w:val="0"/>
      <w:i w:val="0"/>
      <w:iCs w:val="0"/>
      <w:u w:val="none"/>
      <w:strike w:val="0"/>
      <w:smallCaps w:val="0"/>
      <w:sz w:val="12"/>
      <w:szCs w:val="12"/>
      <w:rFonts w:ascii="Times New Roman" w:eastAsia="Times New Roman" w:hAnsi="Times New Roman" w:cs="Times New Roman"/>
    </w:rPr>
  </w:style>
  <w:style w:type="paragraph" w:customStyle="1" w:styleId="Style18">
    <w:name w:val="Основной текст"/>
    <w:basedOn w:val="Normal"/>
    <w:link w:val="CharStyle19"/>
    <w:pPr>
      <w:widowControl w:val="0"/>
      <w:shd w:val="clear" w:color="auto" w:fill="FFFFFF"/>
      <w:spacing w:after="300" w:line="317"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20">
    <w:name w:val="Основной текст (6)"/>
    <w:basedOn w:val="Normal"/>
    <w:link w:val="CharStyle22"/>
    <w:pPr>
      <w:widowControl w:val="0"/>
      <w:shd w:val="clear" w:color="auto" w:fill="FFFFFF"/>
      <w:jc w:val="both"/>
      <w:spacing w:line="274"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23">
    <w:name w:val="Основной текст (7)"/>
    <w:basedOn w:val="Normal"/>
    <w:link w:val="CharStyle24"/>
    <w:pPr>
      <w:widowControl w:val="0"/>
      <w:shd w:val="clear" w:color="auto" w:fill="FFFFFF"/>
      <w:jc w:val="center"/>
      <w:spacing w:after="6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26">
    <w:name w:val="Штрих-код (2)"/>
    <w:basedOn w:val="Normal"/>
    <w:link w:val="CharStyle27"/>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28">
    <w:name w:val="Заголовок №1"/>
    <w:basedOn w:val="Normal"/>
    <w:link w:val="CharStyle29"/>
    <w:pPr>
      <w:widowControl w:val="0"/>
      <w:shd w:val="clear" w:color="auto" w:fill="FFFFFF"/>
      <w:jc w:val="center"/>
      <w:outlineLvl w:val="0"/>
      <w:spacing w:after="240" w:line="322" w:lineRule="exact"/>
    </w:pPr>
    <w:rPr>
      <w:b/>
      <w:bCs/>
      <w:i w:val="0"/>
      <w:iCs w:val="0"/>
      <w:u w:val="none"/>
      <w:strike w:val="0"/>
      <w:smallCaps w:val="0"/>
      <w:sz w:val="26"/>
      <w:szCs w:val="26"/>
      <w:rFonts w:ascii="Times New Roman" w:eastAsia="Times New Roman" w:hAnsi="Times New Roman" w:cs="Times New Roman"/>
    </w:rPr>
  </w:style>
  <w:style w:type="paragraph" w:customStyle="1" w:styleId="Style30">
    <w:name w:val="Основной текст (8)"/>
    <w:basedOn w:val="Normal"/>
    <w:link w:val="CharStyle31"/>
    <w:pPr>
      <w:widowControl w:val="0"/>
      <w:shd w:val="clear" w:color="auto" w:fill="FFFFFF"/>
      <w:jc w:val="both"/>
      <w:spacing w:line="322" w:lineRule="exact"/>
    </w:pPr>
    <w:rPr>
      <w:b w:val="0"/>
      <w:bCs w:val="0"/>
      <w:i/>
      <w:iCs/>
      <w:u w:val="none"/>
      <w:strike w:val="0"/>
      <w:smallCaps w:val="0"/>
      <w:sz w:val="26"/>
      <w:szCs w:val="26"/>
      <w:rFonts w:ascii="Times New Roman" w:eastAsia="Times New Roman" w:hAnsi="Times New Roman" w:cs="Times New Roman"/>
    </w:rPr>
  </w:style>
  <w:style w:type="paragraph" w:customStyle="1" w:styleId="Style33">
    <w:name w:val="Подпись к таблице"/>
    <w:basedOn w:val="Normal"/>
    <w:link w:val="CharStyle34"/>
    <w:pPr>
      <w:widowControl w:val="0"/>
      <w:shd w:val="clear" w:color="auto" w:fill="FFFFFF"/>
      <w:jc w:val="both"/>
      <w:spacing w:line="317" w:lineRule="exact"/>
      <w:ind w:firstLine="700"/>
    </w:pPr>
    <w:rPr>
      <w:b w:val="0"/>
      <w:bCs w:val="0"/>
      <w:i w:val="0"/>
      <w:iCs w:val="0"/>
      <w:u w:val="none"/>
      <w:strike w:val="0"/>
      <w:smallCaps w:val="0"/>
      <w:sz w:val="26"/>
      <w:szCs w:val="26"/>
      <w:rFonts w:ascii="Times New Roman" w:eastAsia="Times New Roman" w:hAnsi="Times New Roman" w:cs="Times New Roman"/>
    </w:rPr>
  </w:style>
  <w:style w:type="paragraph" w:customStyle="1" w:styleId="Style39">
    <w:name w:val="Основной текст (9)"/>
    <w:basedOn w:val="Normal"/>
    <w:link w:val="CharStyle40"/>
    <w:pPr>
      <w:widowControl w:val="0"/>
      <w:shd w:val="clear" w:color="auto" w:fill="FFFFFF"/>
      <w:spacing w:before="600" w:line="254" w:lineRule="exact"/>
    </w:pPr>
    <w:rPr>
      <w:b w:val="0"/>
      <w:bCs w:val="0"/>
      <w:i w:val="0"/>
      <w:iCs w:val="0"/>
      <w:u w:val="none"/>
      <w:strike w:val="0"/>
      <w:smallCaps w:val="0"/>
      <w:sz w:val="21"/>
      <w:szCs w:val="21"/>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